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44.jpeg" ContentType="image/jpeg"/>
  <Override PartName="/word/media/image45.jpeg" ContentType="image/jpeg"/>
  <Override PartName="/word/media/image46.jpeg" ContentType="image/jpeg"/>
  <Override PartName="/word/media/image47.jpeg" ContentType="image/jpeg"/>
  <Override PartName="/word/media/image48.jpeg" ContentType="image/jpeg"/>
  <Override PartName="/word/media/image49.jpeg" ContentType="image/jpeg"/>
  <Override PartName="/word/media/image50.jpeg" ContentType="image/jpeg"/>
  <Override PartName="/word/media/image51.jpeg" ContentType="image/jpeg"/>
  <Override PartName="/word/media/image52.jpeg" ContentType="image/jpeg"/>
  <Override PartName="/word/media/image53.jpeg" ContentType="image/jpeg"/>
  <Override PartName="/word/media/image54.jpeg" ContentType="image/jpeg"/>
  <Override PartName="/word/media/image55.jpeg" ContentType="image/jpeg"/>
  <Override PartName="/word/media/image56.jpeg" ContentType="image/jpeg"/>
  <Override PartName="/word/media/image57.jpeg" ContentType="image/jpeg"/>
  <Override PartName="/word/media/image58.jpeg" ContentType="image/jpeg"/>
  <Override PartName="/word/media/image59.jpeg" ContentType="image/jpeg"/>
  <Override PartName="/word/media/image60.jpeg" ContentType="image/jpeg"/>
  <Override PartName="/word/media/image61.jpeg" ContentType="image/jpeg"/>
  <Override PartName="/word/media/image62.jpeg" ContentType="image/jpeg"/>
  <Override PartName="/word/media/image63.jpeg" ContentType="image/jpeg"/>
  <Override PartName="/word/media/image64.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b w:val="1"/>
          <w:bCs w:val="1"/>
          <w:sz w:val="32"/>
          <w:szCs w:val="32"/>
          <w:u w:val="single"/>
        </w:rPr>
      </w:pPr>
      <w:bookmarkStart w:name="_Hlk63077444" w:id="0"/>
      <w:bookmarkEnd w:id="0"/>
      <w:r>
        <w:rPr>
          <w:b w:val="1"/>
          <w:bCs w:val="1"/>
          <w:sz w:val="32"/>
          <w:szCs w:val="32"/>
          <w:u w:val="single"/>
          <w:rtl w:val="0"/>
        </w:rPr>
        <w:t>D</w:t>
      </w:r>
      <w:r>
        <w:rPr>
          <w:b w:val="1"/>
          <w:bCs w:val="1"/>
          <w:sz w:val="32"/>
          <w:szCs w:val="32"/>
          <w:u w:val="single"/>
          <w:rtl w:val="0"/>
          <w:lang w:val="de-DE"/>
        </w:rPr>
        <w:t>ilatometer Test</w:t>
      </w:r>
    </w:p>
    <w:p>
      <w:pPr>
        <w:pStyle w:val="Body"/>
        <w:jc w:val="both"/>
        <w:rPr>
          <w:b w:val="1"/>
          <w:bCs w:val="1"/>
          <w:sz w:val="32"/>
          <w:szCs w:val="32"/>
          <w:u w:val="single"/>
        </w:rPr>
      </w:pPr>
    </w:p>
    <w:p>
      <w:pPr>
        <w:pStyle w:val="Body"/>
        <w:jc w:val="both"/>
        <w:rPr>
          <w:b w:val="1"/>
          <w:bCs w:val="1"/>
          <w:sz w:val="32"/>
          <w:szCs w:val="32"/>
          <w:u w:val="single"/>
        </w:rPr>
      </w:pPr>
    </w:p>
    <w:p>
      <w:pPr>
        <w:pStyle w:val="Body"/>
        <w:rPr>
          <w:b w:val="1"/>
          <w:bCs w:val="1"/>
          <w:sz w:val="28"/>
          <w:szCs w:val="28"/>
        </w:rPr>
      </w:pPr>
      <w:r>
        <w:rPr>
          <w:b w:val="1"/>
          <w:bCs w:val="1"/>
          <w:sz w:val="28"/>
          <w:szCs w:val="28"/>
          <w:rtl w:val="0"/>
          <w:lang w:val="en-US"/>
        </w:rPr>
        <w:t>Benefits of the dilatometer test:</w:t>
      </w:r>
    </w:p>
    <w:p>
      <w:pPr>
        <w:pStyle w:val="Body"/>
        <w:rPr>
          <w:b w:val="1"/>
          <w:bCs w:val="1"/>
          <w:sz w:val="28"/>
          <w:szCs w:val="28"/>
        </w:rPr>
      </w:pPr>
    </w:p>
    <w:p>
      <w:pPr>
        <w:pStyle w:val="List Paragraph"/>
        <w:numPr>
          <w:ilvl w:val="0"/>
          <w:numId w:val="2"/>
        </w:numPr>
        <w:rPr>
          <w:lang w:val="en-US"/>
        </w:rPr>
      </w:pPr>
      <w:r>
        <w:rPr>
          <w:rtl w:val="0"/>
          <w:lang w:val="en-US"/>
        </w:rPr>
        <w:t>Accurately measures the constrained deformation modulus of soil</w:t>
      </w:r>
    </w:p>
    <w:p>
      <w:pPr>
        <w:pStyle w:val="List Paragraph"/>
        <w:numPr>
          <w:ilvl w:val="0"/>
          <w:numId w:val="2"/>
        </w:numPr>
        <w:rPr>
          <w:lang w:val="en-US"/>
        </w:rPr>
      </w:pPr>
      <w:r>
        <w:rPr>
          <w:rtl w:val="0"/>
          <w:lang w:val="en-US"/>
        </w:rPr>
        <w:t>Accurately predicts settlement</w:t>
      </w:r>
      <w:r>
        <w:rPr>
          <w:rtl w:val="0"/>
          <w:lang w:val="en-US"/>
        </w:rPr>
        <w:t>—</w:t>
      </w:r>
      <w:r>
        <w:rPr>
          <w:rtl w:val="0"/>
          <w:lang w:val="en-US"/>
        </w:rPr>
        <w:t>we have documented $25,000,000 of savings when using the dilatometer for foundation design versus design based on SPT</w:t>
      </w:r>
    </w:p>
    <w:p>
      <w:pPr>
        <w:pStyle w:val="List Paragraph"/>
        <w:numPr>
          <w:ilvl w:val="0"/>
          <w:numId w:val="2"/>
        </w:numPr>
        <w:rPr>
          <w:lang w:val="en-US"/>
        </w:rPr>
      </w:pPr>
      <w:r>
        <w:rPr>
          <w:rtl w:val="0"/>
          <w:lang w:val="en-US"/>
        </w:rPr>
        <w:t>Knifes into the soil causing much less volumetric and shear strain to the soil than conical probes such as CPT or SPT</w:t>
      </w:r>
    </w:p>
    <w:p>
      <w:pPr>
        <w:pStyle w:val="List Paragraph"/>
        <w:numPr>
          <w:ilvl w:val="0"/>
          <w:numId w:val="2"/>
        </w:numPr>
        <w:rPr>
          <w:lang w:val="en-US"/>
        </w:rPr>
      </w:pPr>
      <w:r>
        <w:rPr>
          <w:rtl w:val="0"/>
          <w:lang w:val="en-US"/>
        </w:rPr>
        <w:t>Correlates well with the soil stress history</w:t>
      </w:r>
    </w:p>
    <w:p>
      <w:pPr>
        <w:pStyle w:val="List Paragraph"/>
        <w:numPr>
          <w:ilvl w:val="0"/>
          <w:numId w:val="2"/>
        </w:numPr>
        <w:rPr>
          <w:lang w:val="en-US"/>
        </w:rPr>
      </w:pPr>
      <w:r>
        <w:rPr>
          <w:rtl w:val="0"/>
          <w:lang w:val="en-US"/>
        </w:rPr>
        <w:t>Marchetti (1980) and Lutenegger (2006) undrained shear strength predictions of cohesive soil compare quite favorably with other measurements worldwide</w:t>
      </w:r>
    </w:p>
    <w:p>
      <w:pPr>
        <w:pStyle w:val="List Paragraph"/>
        <w:numPr>
          <w:ilvl w:val="0"/>
          <w:numId w:val="2"/>
        </w:numPr>
        <w:rPr>
          <w:lang w:val="en-US"/>
        </w:rPr>
      </w:pPr>
      <w:r>
        <w:rPr>
          <w:rtl w:val="0"/>
          <w:lang w:val="en-US"/>
        </w:rPr>
        <w:t>Schmertmann</w:t>
      </w:r>
      <w:r>
        <w:rPr>
          <w:rtl w:val="0"/>
          <w:lang w:val="en-US"/>
        </w:rPr>
        <w:t>’</w:t>
      </w:r>
      <w:r>
        <w:rPr>
          <w:rtl w:val="0"/>
          <w:lang w:val="en-US"/>
        </w:rPr>
        <w:t>s elastic half-space theoretic calculation using the thrust measurement accurately predicts the drained plane strain angle of internal friction for cohesionless soil</w:t>
      </w:r>
    </w:p>
    <w:p>
      <w:pPr>
        <w:pStyle w:val="List Paragraph"/>
        <w:numPr>
          <w:ilvl w:val="0"/>
          <w:numId w:val="2"/>
        </w:numPr>
        <w:rPr>
          <w:lang w:val="en-US"/>
        </w:rPr>
      </w:pPr>
      <w:r>
        <w:rPr>
          <w:rtl w:val="0"/>
          <w:lang w:val="en-US"/>
        </w:rPr>
        <w:t>Before and after measurements show how well ground improvement methods work</w:t>
      </w:r>
    </w:p>
    <w:p>
      <w:pPr>
        <w:pStyle w:val="List Paragraph"/>
        <w:numPr>
          <w:ilvl w:val="0"/>
          <w:numId w:val="2"/>
        </w:numPr>
        <w:rPr>
          <w:lang w:val="en-US"/>
        </w:rPr>
      </w:pPr>
      <w:r>
        <w:rPr>
          <w:rtl w:val="0"/>
          <w:lang w:val="en-US"/>
        </w:rPr>
        <w:t>True-interval seismic tests accurately and repeatedly measure the compression above water table and shear wave velocities</w:t>
      </w:r>
    </w:p>
    <w:p>
      <w:pPr>
        <w:pStyle w:val="List Paragraph"/>
        <w:numPr>
          <w:ilvl w:val="0"/>
          <w:numId w:val="2"/>
        </w:numPr>
        <w:rPr>
          <w:lang w:val="en-US"/>
        </w:rPr>
      </w:pPr>
      <w:r>
        <w:rPr>
          <w:rtl w:val="0"/>
          <w:lang w:val="en-US"/>
        </w:rPr>
        <w:t xml:space="preserve">Pore pressure dissipation tests in cohesive soil below water table measure time rate of consolidation </w:t>
      </w:r>
    </w:p>
    <w:p>
      <w:pPr>
        <w:pStyle w:val="Body"/>
      </w:pPr>
    </w:p>
    <w:p>
      <w:pPr>
        <w:pStyle w:val="Body"/>
      </w:pPr>
      <w:r>
        <w:rPr>
          <w:rtl w:val="0"/>
          <w:lang w:val="en-US"/>
        </w:rPr>
        <w:t xml:space="preserve">To assure high quality control, professional engineers should perform dilatometer tests.  We performed the </w:t>
      </w:r>
      <w:r>
        <w:rPr>
          <w:outline w:val="0"/>
          <w:color w:val="0000ff"/>
          <w:u w:color="0000ff"/>
          <w:rtl w:val="0"/>
          <w:lang w:val="en-US"/>
          <w14:textFill>
            <w14:solidFill>
              <w14:srgbClr w14:val="0000FF"/>
            </w14:solidFill>
          </w14:textFill>
        </w:rPr>
        <w:t>deepest dilatometer test in the world</w:t>
      </w:r>
      <w:r>
        <w:rPr>
          <w:rtl w:val="0"/>
          <w:lang w:val="en-US"/>
        </w:rPr>
        <w:t xml:space="preserve"> at Calvert Cliffs Nuclear Power Plant at a depth of 399 feet (121.6 m).  </w:t>
      </w:r>
      <w:r>
        <w:rPr>
          <w:outline w:val="0"/>
          <w:color w:val="0000ff"/>
          <w:u w:color="0000ff"/>
          <w:rtl w:val="0"/>
          <w14:textFill>
            <w14:solidFill>
              <w14:srgbClr w14:val="0000FF"/>
            </w14:solidFill>
          </w14:textFill>
        </w:rPr>
        <w:t xml:space="preserve"> </w:t>
      </w:r>
      <w:r>
        <w:rPr>
          <w:rtl w:val="0"/>
          <w:lang w:val="en-US"/>
        </w:rPr>
        <w:t>We organized the Second International Conference on the Flat Dilatometer Test (2006).  We thank Diego Marchetti for providing many of the figures and tables and reviewing this document.</w:t>
      </w:r>
    </w:p>
    <w:p>
      <w:pPr>
        <w:pStyle w:val="Body"/>
      </w:pPr>
    </w:p>
    <w:p>
      <w:pPr>
        <w:pStyle w:val="Body"/>
      </w:pPr>
      <w:r>
        <w:rPr>
          <w:b w:val="1"/>
          <w:bCs w:val="1"/>
          <w:rtl w:val="0"/>
          <w:lang w:val="en-US"/>
        </w:rPr>
        <w:t>History of Dilatometer Test</w:t>
      </w:r>
      <w:r>
        <w:rPr>
          <w:rtl w:val="0"/>
          <w:lang w:val="en-US"/>
        </w:rPr>
        <w:t xml:space="preserve"> (DMT), ASTM D 6635: In 1975, Dr. Silvano Marchetti invented the Flat Dilatometer, consisting of sharpened blade with a circular 60 mm diameter stainless-steel membrane located on one side, to investigate H-pile behavior for lateral loads.  He performed tests at ten well-documented research sites and developed empirical correlations with soil properties.  </w:t>
      </w:r>
      <w:r>
        <w:rPr>
          <w:outline w:val="0"/>
          <w:color w:val="0000ff"/>
          <w:u w:color="0000ff"/>
          <w:rtl w:val="0"/>
          <w:lang w:val="it-IT"/>
          <w14:textFill>
            <w14:solidFill>
              <w14:srgbClr w14:val="0000FF"/>
            </w14:solidFill>
          </w14:textFill>
        </w:rPr>
        <w:t>(Marchetti, 1980)</w:t>
      </w:r>
      <w:r>
        <w:rPr>
          <w:rtl w:val="0"/>
          <w:lang w:val="en-US"/>
        </w:rPr>
        <w:t xml:space="preserve"> published a classic paper presenting those correlations.  Since 1980, numerous researchers have confirmed Silvano</w:t>
      </w:r>
      <w:r>
        <w:rPr>
          <w:rtl w:val="1"/>
        </w:rPr>
        <w:t>’</w:t>
      </w:r>
      <w:r>
        <w:rPr>
          <w:rtl w:val="0"/>
          <w:lang w:val="en-US"/>
        </w:rPr>
        <w:t>s correlations worldwide.  In 1981, Marchetti traveled to the United States on sabbatical and worked with Drs. John Schmertmann and David Crapps.  While they initially viewed Dr. Marchetti</w:t>
      </w:r>
      <w:r>
        <w:rPr>
          <w:rtl w:val="1"/>
        </w:rPr>
        <w:t>’</w:t>
      </w:r>
      <w:r>
        <w:rPr>
          <w:rtl w:val="0"/>
          <w:lang w:val="en-US"/>
        </w:rPr>
        <w:t>s invention with skepticism, they became believers by the dilatometer</w:t>
      </w:r>
      <w:r>
        <w:rPr>
          <w:rtl w:val="1"/>
        </w:rPr>
        <w:t>’</w:t>
      </w:r>
      <w:r>
        <w:rPr>
          <w:rtl w:val="0"/>
          <w:lang w:val="en-US"/>
        </w:rPr>
        <w:t xml:space="preserve">s impressive speed and accuracy of the results.  Three international technical conferences have been held: </w:t>
      </w:r>
      <w:r>
        <w:rPr>
          <w:outline w:val="0"/>
          <w:color w:val="0000ff"/>
          <w:u w:color="0000ff"/>
          <w:rtl w:val="0"/>
          <w:lang w:val="it-IT"/>
          <w14:textFill>
            <w14:solidFill>
              <w14:srgbClr w14:val="0000FF"/>
            </w14:solidFill>
          </w14:textFill>
        </w:rPr>
        <w:t>Edmonton, Alberta, 1983</w:t>
      </w:r>
      <w:r>
        <w:rPr>
          <w:rtl w:val="0"/>
        </w:rPr>
        <w:t xml:space="preserve">; </w:t>
      </w:r>
      <w:r>
        <w:rPr>
          <w:outline w:val="0"/>
          <w:color w:val="0000ff"/>
          <w:u w:color="0000ff"/>
          <w:rtl w:val="0"/>
          <w:lang w:val="it-IT"/>
          <w14:textFill>
            <w14:solidFill>
              <w14:srgbClr w14:val="0000FF"/>
            </w14:solidFill>
          </w14:textFill>
        </w:rPr>
        <w:t>Washington D.C., 2006</w:t>
      </w:r>
      <w:r>
        <w:rPr>
          <w:rtl w:val="0"/>
          <w:lang w:val="en-US"/>
        </w:rPr>
        <w:t xml:space="preserve">; and </w:t>
      </w:r>
      <w:r>
        <w:rPr>
          <w:outline w:val="0"/>
          <w:color w:val="0000ff"/>
          <w:u w:color="0000ff"/>
          <w:rtl w:val="0"/>
          <w:lang w:val="en-US"/>
          <w14:textFill>
            <w14:solidFill>
              <w14:srgbClr w14:val="0000FF"/>
            </w14:solidFill>
          </w14:textFill>
        </w:rPr>
        <w:t>Rome, Italy 2015</w:t>
      </w:r>
      <w:r>
        <w:rPr>
          <w:rtl w:val="0"/>
          <w:lang w:val="en-US"/>
        </w:rPr>
        <w:t>. (Please double-click on the conference for its proceedings.)</w:t>
      </w:r>
    </w:p>
    <w:p>
      <w:pPr>
        <w:pStyle w:val="Body"/>
      </w:pPr>
      <w:r>
        <w:rPr>
          <w:rFonts w:ascii="Arial Unicode MS" w:cs="Arial Unicode MS" w:hAnsi="Arial Unicode MS" w:eastAsia="Arial Unicode MS"/>
          <w:b w:val="0"/>
          <w:bCs w:val="0"/>
          <w:i w:val="0"/>
          <w:iCs w:val="0"/>
        </w:rPr>
        <w:br w:type="page"/>
      </w:r>
    </w:p>
    <w:p>
      <w:pPr>
        <w:pStyle w:val="Body"/>
        <w:rPr>
          <w:sz w:val="28"/>
          <w:szCs w:val="28"/>
        </w:rPr>
      </w:pPr>
      <w:r>
        <w:rPr>
          <w:b w:val="1"/>
          <w:bCs w:val="1"/>
          <w:sz w:val="28"/>
          <w:szCs w:val="28"/>
          <w:rtl w:val="0"/>
          <w:lang w:val="en-US"/>
        </w:rPr>
        <w:t>Dilatometer Equipment:</w:t>
      </w:r>
      <w:r>
        <w:rPr>
          <w:sz w:val="28"/>
          <w:szCs w:val="28"/>
          <w:rtl w:val="0"/>
        </w:rPr>
        <w:t xml:space="preserve"> </w:t>
      </w:r>
    </w:p>
    <w:p>
      <w:pPr>
        <w:pStyle w:val="Body"/>
      </w:pPr>
    </w:p>
    <w:p>
      <w:pPr>
        <w:pStyle w:val="Body"/>
        <w:rPr>
          <w:b w:val="1"/>
          <w:bCs w:val="1"/>
        </w:rPr>
      </w:pPr>
      <w:r>
        <w:rPr>
          <w:rtl w:val="0"/>
          <w:lang w:val="en-US"/>
        </w:rPr>
        <w:t xml:space="preserve">The dilatometer blade, machined from high strength heat-treated stainless-steel (PH13-8Mo), has a width of 96 mm, a thickness of 15 mm, and an expandable 60 mm diameter membrane on one face.  The blade will not break unless it becomes inclined when pushed against an obstruction, such as inclined concrete piece or cobble/boulder.  Breaks only occur at the threaded throat where it connects to the friction reducer adapter.  </w:t>
      </w:r>
    </w:p>
    <w:p>
      <w:pPr>
        <w:pStyle w:val="Body"/>
      </w:pPr>
    </w:p>
    <w:p>
      <w:pPr>
        <w:pStyle w:val="ISC6_body"/>
        <w:ind w:firstLine="0"/>
        <w:rPr>
          <w:rFonts w:ascii="Calibri" w:cs="Calibri" w:hAnsi="Calibri" w:eastAsia="Calibri"/>
          <w:sz w:val="24"/>
          <w:szCs w:val="24"/>
        </w:rPr>
      </w:pPr>
      <w:r>
        <w:rPr>
          <w:rFonts w:ascii="Calibri" w:hAnsi="Calibri"/>
          <w:sz w:val="24"/>
          <w:szCs w:val="24"/>
          <w:rtl w:val="0"/>
          <w:lang w:val="en-US"/>
        </w:rPr>
        <w:t>When the dilatometer blade is pushed into the soil, the geometry of the blade causes minimal volumetric and shear strain to the soil.  In contrast, when the cone penetrometer is pushed or standard penetration test split spoon is driven into the soil, their circular geometry causes significantly more volumetric and shear strain to the soil.  Figure 1 illustrates the differences in the straining of the soil due to their different geometries (Baligh, Scott, 1975).  Marchetti (1998) shows that arching occurs when pushing a circular probe, while the dilatometer blade knifes into the soil with little arching effects, resulting in more accurate stress history measurements (Figure 2).</w:t>
      </w:r>
    </w:p>
    <w:p>
      <w:pPr>
        <w:pStyle w:val="ISC6_body"/>
        <w:ind w:firstLine="0"/>
        <w:rPr>
          <w:rFonts w:ascii="Calibri" w:cs="Calibri" w:hAnsi="Calibri" w:eastAsia="Calibri"/>
          <w:sz w:val="24"/>
          <w:szCs w:val="24"/>
        </w:rPr>
      </w:pPr>
    </w:p>
    <w:p>
      <w:pPr>
        <w:pStyle w:val="ISC6_body"/>
        <w:rPr>
          <w:rFonts w:ascii="Calibri" w:cs="Calibri" w:hAnsi="Calibri" w:eastAsia="Calibri"/>
          <w:sz w:val="24"/>
          <w:szCs w:val="24"/>
        </w:rPr>
      </w:pPr>
      <w:r>
        <w:drawing xmlns:a="http://schemas.openxmlformats.org/drawingml/2006/main">
          <wp:inline distT="0" distB="0" distL="0" distR="0">
            <wp:extent cx="5882245" cy="3362325"/>
            <wp:effectExtent l="0" t="0" r="0" b="0"/>
            <wp:docPr id="1073741825" name="officeArt object" descr="Picture 30"/>
            <wp:cNvGraphicFramePr/>
            <a:graphic xmlns:a="http://schemas.openxmlformats.org/drawingml/2006/main">
              <a:graphicData uri="http://schemas.openxmlformats.org/drawingml/2006/picture">
                <pic:pic xmlns:pic="http://schemas.openxmlformats.org/drawingml/2006/picture">
                  <pic:nvPicPr>
                    <pic:cNvPr id="1073741825" name="Picture 30" descr="Picture 30"/>
                    <pic:cNvPicPr>
                      <a:picLocks noChangeAspect="1"/>
                    </pic:cNvPicPr>
                  </pic:nvPicPr>
                  <pic:blipFill>
                    <a:blip r:embed="rId4">
                      <a:extLst/>
                    </a:blip>
                    <a:stretch>
                      <a:fillRect/>
                    </a:stretch>
                  </pic:blipFill>
                  <pic:spPr>
                    <a:xfrm>
                      <a:off x="0" y="0"/>
                      <a:ext cx="5882245" cy="3362325"/>
                    </a:xfrm>
                    <a:prstGeom prst="rect">
                      <a:avLst/>
                    </a:prstGeom>
                    <a:ln w="12700" cap="flat">
                      <a:noFill/>
                      <a:miter lim="400000"/>
                    </a:ln>
                    <a:effectLst/>
                  </pic:spPr>
                </pic:pic>
              </a:graphicData>
            </a:graphic>
          </wp:inline>
        </w:drawing>
      </w:r>
    </w:p>
    <w:p>
      <w:pPr>
        <w:pStyle w:val="ISC6_body"/>
        <w:rPr>
          <w:rFonts w:ascii="Calibri" w:cs="Calibri" w:hAnsi="Calibri" w:eastAsia="Calibri"/>
          <w:sz w:val="24"/>
          <w:szCs w:val="24"/>
        </w:rPr>
      </w:pPr>
    </w:p>
    <w:p>
      <w:pPr>
        <w:pStyle w:val="ISC6_figurename"/>
        <w:ind w:firstLine="0"/>
        <w:jc w:val="both"/>
        <w:rPr>
          <w:rFonts w:ascii="Calibri" w:cs="Calibri" w:hAnsi="Calibri" w:eastAsia="Calibri"/>
          <w:sz w:val="24"/>
          <w:szCs w:val="24"/>
        </w:rPr>
      </w:pPr>
      <w:r>
        <w:rPr>
          <w:rFonts w:ascii="Calibri" w:hAnsi="Calibri"/>
          <w:sz w:val="24"/>
          <w:szCs w:val="24"/>
          <w:rtl w:val="0"/>
          <w:lang w:val="en-US"/>
        </w:rPr>
        <w:t xml:space="preserve">Figure 1: Less disturbance pushing the DMT blade than conical probe (CPT or SPT) </w:t>
      </w:r>
    </w:p>
    <w:p>
      <w:pPr>
        <w:pStyle w:val="ISC6_body"/>
        <w:rPr>
          <w:rFonts w:ascii="Calibri" w:cs="Calibri" w:hAnsi="Calibri" w:eastAsia="Calibri"/>
          <w:sz w:val="24"/>
          <w:szCs w:val="24"/>
        </w:rPr>
      </w:pPr>
    </w:p>
    <w:p>
      <w:pPr>
        <w:pStyle w:val="ISC6_body"/>
        <w:ind w:firstLine="0"/>
        <w:rPr>
          <w:rFonts w:ascii="Calibri" w:cs="Calibri" w:hAnsi="Calibri" w:eastAsia="Calibri"/>
          <w:sz w:val="24"/>
          <w:szCs w:val="24"/>
        </w:rPr>
      </w:pPr>
      <w:r>
        <w:rPr>
          <w:rFonts w:ascii="Calibri" w:cs="Calibri" w:hAnsi="Calibri" w:eastAsia="Calibri"/>
          <w:sz w:val="24"/>
          <w:szCs w:val="24"/>
        </w:rPr>
        <w:drawing xmlns:a="http://schemas.openxmlformats.org/drawingml/2006/main">
          <wp:inline distT="0" distB="0" distL="0" distR="0">
            <wp:extent cx="5943600" cy="4553585"/>
            <wp:effectExtent l="0" t="0" r="0" b="0"/>
            <wp:docPr id="1073741826" name="officeArt object" descr="Picture 31"/>
            <wp:cNvGraphicFramePr/>
            <a:graphic xmlns:a="http://schemas.openxmlformats.org/drawingml/2006/main">
              <a:graphicData uri="http://schemas.openxmlformats.org/drawingml/2006/picture">
                <pic:pic xmlns:pic="http://schemas.openxmlformats.org/drawingml/2006/picture">
                  <pic:nvPicPr>
                    <pic:cNvPr id="1073741826" name="Picture 31" descr="Picture 31"/>
                    <pic:cNvPicPr>
                      <a:picLocks noChangeAspect="1"/>
                    </pic:cNvPicPr>
                  </pic:nvPicPr>
                  <pic:blipFill>
                    <a:blip r:embed="rId5">
                      <a:extLst/>
                    </a:blip>
                    <a:stretch>
                      <a:fillRect/>
                    </a:stretch>
                  </pic:blipFill>
                  <pic:spPr>
                    <a:xfrm>
                      <a:off x="0" y="0"/>
                      <a:ext cx="5943600" cy="4553585"/>
                    </a:xfrm>
                    <a:prstGeom prst="rect">
                      <a:avLst/>
                    </a:prstGeom>
                    <a:ln w="12700" cap="flat">
                      <a:noFill/>
                      <a:miter lim="400000"/>
                    </a:ln>
                    <a:effectLst/>
                  </pic:spPr>
                </pic:pic>
              </a:graphicData>
            </a:graphic>
          </wp:inline>
        </w:drawing>
      </w:r>
    </w:p>
    <w:p>
      <w:pPr>
        <w:pStyle w:val="ISC6_body"/>
        <w:ind w:firstLine="0"/>
        <w:rPr>
          <w:rFonts w:ascii="Calibri" w:cs="Calibri" w:hAnsi="Calibri" w:eastAsia="Calibri"/>
          <w:sz w:val="24"/>
          <w:szCs w:val="24"/>
        </w:rPr>
      </w:pPr>
    </w:p>
    <w:p>
      <w:pPr>
        <w:pStyle w:val="ISC6_figurename"/>
        <w:ind w:firstLine="0"/>
        <w:rPr>
          <w:rFonts w:ascii="Calibri" w:cs="Calibri" w:hAnsi="Calibri" w:eastAsia="Calibri"/>
          <w:sz w:val="24"/>
          <w:szCs w:val="24"/>
        </w:rPr>
      </w:pPr>
      <w:r>
        <w:rPr>
          <w:rFonts w:ascii="Calibri" w:hAnsi="Calibri"/>
          <w:sz w:val="24"/>
          <w:szCs w:val="24"/>
          <w:rtl w:val="0"/>
          <w:lang w:val="en-US"/>
        </w:rPr>
        <w:t>Figure 2: Significant arching caused by pushing conical probe versus little arching by pushing sharpened blade that knifes into the soil</w:t>
      </w:r>
    </w:p>
    <w:p>
      <w:pPr>
        <w:pStyle w:val="Body"/>
      </w:pPr>
    </w:p>
    <w:p>
      <w:pPr>
        <w:pStyle w:val="Body"/>
      </w:pPr>
      <w:r>
        <w:rPr>
          <w:rtl w:val="0"/>
          <w:lang w:val="en-US"/>
        </w:rPr>
        <w:t>The dilatometer blade has a cross-sectional area of about 14 cm</w:t>
      </w:r>
      <w:r>
        <w:rPr>
          <w:vertAlign w:val="superscript"/>
          <w:rtl w:val="0"/>
        </w:rPr>
        <w:t>2</w:t>
      </w:r>
      <w:r>
        <w:rPr>
          <w:rtl w:val="0"/>
          <w:lang w:val="en-US"/>
        </w:rPr>
        <w:t>.  A direct push rig with about 15 tons (13,000 kgf) of thrust can advance it into soil with an N</w:t>
      </w:r>
      <w:r>
        <w:rPr>
          <w:vertAlign w:val="subscript"/>
          <w:rtl w:val="0"/>
        </w:rPr>
        <w:t>60</w:t>
      </w:r>
      <w:r>
        <w:rPr>
          <w:rtl w:val="0"/>
          <w:lang w:val="en-US"/>
        </w:rPr>
        <w:t>-value of about 40 blows per foot, while a heavy drill rig with about 5 tons (4,000 kgf) of thrust can advance it into soil with an N</w:t>
      </w:r>
      <w:r>
        <w:rPr>
          <w:vertAlign w:val="subscript"/>
          <w:rtl w:val="0"/>
        </w:rPr>
        <w:t>60</w:t>
      </w:r>
      <w:r>
        <w:rPr>
          <w:rtl w:val="0"/>
          <w:lang w:val="en-US"/>
        </w:rPr>
        <w:t xml:space="preserve">-value of about 25 blows per foot.  Tests can be successfully performed in all penetrable soils, including clay, silt, and sand.  If the soil contains a significant amount of gravel, however, point contacts against the membrane instead of a continuous medium may cause inaccurate results.  Furthermore, gravel will often tear a hole in the membrane.  The engineer can identify tests in soil containing gravel as they have low </w:t>
      </w:r>
      <w:r>
        <w:rPr>
          <w:rtl w:val="1"/>
          <w:lang w:val="ar-SA" w:bidi="ar-SA"/>
        </w:rPr>
        <w:t>“</w:t>
      </w:r>
      <w:r>
        <w:rPr>
          <w:rtl w:val="0"/>
        </w:rPr>
        <w:t>A</w:t>
      </w:r>
      <w:r>
        <w:rPr>
          <w:rtl w:val="0"/>
        </w:rPr>
        <w:t xml:space="preserve">” </w:t>
      </w:r>
      <w:r>
        <w:rPr>
          <w:rtl w:val="0"/>
          <w:lang w:val="en-US"/>
        </w:rPr>
        <w:t>readings from point contacts resulting in high material indices and low pre-consolidation pressure correlations.  Furthermore, when pushing the dilatometer blade into these materials, the soil makes a crunching sound as the gravel fractures</w:t>
      </w:r>
      <w:r>
        <w:rPr>
          <w:rtl w:val="0"/>
          <w:lang w:val="en-US"/>
        </w:rPr>
        <w:t>—</w:t>
      </w:r>
      <w:r>
        <w:rPr>
          <w:rtl w:val="0"/>
          <w:lang w:val="en-US"/>
        </w:rPr>
        <w:t>not music to the engineer</w:t>
      </w:r>
      <w:r>
        <w:rPr>
          <w:rtl w:val="1"/>
        </w:rPr>
        <w:t>’</w:t>
      </w:r>
      <w:r>
        <w:rPr>
          <w:rtl w:val="0"/>
          <w:lang w:val="en-US"/>
        </w:rPr>
        <w:t xml:space="preserve">s ears.  While ASTM allows the DMT blade to be driven into the soil, we believe that this method causes additional disturbance to the soil and discourage this method.  </w:t>
      </w:r>
    </w:p>
    <w:p>
      <w:pPr>
        <w:pStyle w:val="Body"/>
      </w:pPr>
    </w:p>
    <w:p>
      <w:pPr>
        <w:pStyle w:val="Body"/>
      </w:pPr>
      <w:r>
        <w:rPr>
          <w:rtl w:val="0"/>
          <w:lang w:val="en-US"/>
        </w:rPr>
        <w:t xml:space="preserve">Figure 3 shows a dilatometer blade and a dilatometer blade with its membrane removed; Figure 4 shows the tolerance for the sensing disk, feeler (lift-off point for the </w:t>
      </w:r>
      <w:r>
        <w:rPr>
          <w:rtl w:val="1"/>
          <w:lang w:val="ar-SA" w:bidi="ar-SA"/>
        </w:rPr>
        <w:t>“</w:t>
      </w:r>
      <w:r>
        <w:rPr>
          <w:rtl w:val="0"/>
        </w:rPr>
        <w:t>A</w:t>
      </w:r>
      <w:r>
        <w:rPr>
          <w:rtl w:val="0"/>
        </w:rPr>
        <w:t xml:space="preserve">” </w:t>
      </w:r>
      <w:r>
        <w:rPr>
          <w:rtl w:val="0"/>
          <w:lang w:val="en-US"/>
        </w:rPr>
        <w:t xml:space="preserve">reading), and the fully extended Plexiglas cylinder (fully expanded position of the membrane for the </w:t>
      </w:r>
      <w:r>
        <w:rPr>
          <w:rtl w:val="1"/>
          <w:lang w:val="ar-SA" w:bidi="ar-SA"/>
        </w:rPr>
        <w:t>“</w:t>
      </w:r>
      <w:r>
        <w:rPr>
          <w:rtl w:val="0"/>
        </w:rPr>
        <w:t>B</w:t>
      </w:r>
      <w:r>
        <w:rPr>
          <w:rtl w:val="0"/>
        </w:rPr>
        <w:t xml:space="preserve">” </w:t>
      </w:r>
      <w:r>
        <w:rPr>
          <w:rtl w:val="0"/>
          <w:lang w:val="en-US"/>
        </w:rPr>
        <w:t xml:space="preserve">reading); Figure 5 shows the working principle for the </w:t>
      </w:r>
      <w:r>
        <w:rPr>
          <w:rtl w:val="1"/>
          <w:lang w:val="ar-SA" w:bidi="ar-SA"/>
        </w:rPr>
        <w:t>“</w:t>
      </w:r>
      <w:r>
        <w:rPr>
          <w:rtl w:val="0"/>
        </w:rPr>
        <w:t>A</w:t>
      </w:r>
      <w:r>
        <w:rPr>
          <w:rtl w:val="0"/>
        </w:rPr>
        <w:t xml:space="preserve">” </w:t>
      </w:r>
      <w:r>
        <w:rPr>
          <w:rtl w:val="0"/>
          <w:lang w:val="en-US"/>
        </w:rPr>
        <w:t xml:space="preserve">and </w:t>
      </w:r>
      <w:r>
        <w:rPr>
          <w:rtl w:val="1"/>
          <w:lang w:val="ar-SA" w:bidi="ar-SA"/>
        </w:rPr>
        <w:t>“</w:t>
      </w:r>
      <w:r>
        <w:rPr>
          <w:rtl w:val="0"/>
        </w:rPr>
        <w:t>B</w:t>
      </w:r>
      <w:r>
        <w:rPr>
          <w:rtl w:val="0"/>
        </w:rPr>
        <w:t xml:space="preserve">” </w:t>
      </w:r>
      <w:r>
        <w:rPr>
          <w:rtl w:val="0"/>
          <w:lang w:val="en-US"/>
        </w:rPr>
        <w:t>readings; and Figure 6 shows the general set-up for the dilatometer test.</w:t>
      </w:r>
    </w:p>
    <w:p>
      <w:pPr>
        <w:pStyle w:val="Body"/>
      </w:pPr>
    </w:p>
    <w:p>
      <w:pPr>
        <w:pStyle w:val="Body"/>
      </w:pPr>
      <w:r>
        <w:drawing xmlns:a="http://schemas.openxmlformats.org/drawingml/2006/main">
          <wp:inline distT="0" distB="0" distL="0" distR="0">
            <wp:extent cx="3105150" cy="3808122"/>
            <wp:effectExtent l="0" t="0" r="0" b="0"/>
            <wp:docPr id="1073741827" name="officeArt object" descr="Picture 16"/>
            <wp:cNvGraphicFramePr/>
            <a:graphic xmlns:a="http://schemas.openxmlformats.org/drawingml/2006/main">
              <a:graphicData uri="http://schemas.openxmlformats.org/drawingml/2006/picture">
                <pic:pic xmlns:pic="http://schemas.openxmlformats.org/drawingml/2006/picture">
                  <pic:nvPicPr>
                    <pic:cNvPr id="1073741827" name="Picture 16" descr="Picture 16"/>
                    <pic:cNvPicPr>
                      <a:picLocks noChangeAspect="1"/>
                    </pic:cNvPicPr>
                  </pic:nvPicPr>
                  <pic:blipFill>
                    <a:blip r:embed="rId6">
                      <a:extLst/>
                    </a:blip>
                    <a:stretch>
                      <a:fillRect/>
                    </a:stretch>
                  </pic:blipFill>
                  <pic:spPr>
                    <a:xfrm>
                      <a:off x="0" y="0"/>
                      <a:ext cx="3105150" cy="3808122"/>
                    </a:xfrm>
                    <a:prstGeom prst="rect">
                      <a:avLst/>
                    </a:prstGeom>
                    <a:ln w="12700" cap="flat">
                      <a:noFill/>
                      <a:miter lim="400000"/>
                    </a:ln>
                    <a:effectLst/>
                  </pic:spPr>
                </pic:pic>
              </a:graphicData>
            </a:graphic>
          </wp:inline>
        </w:drawing>
      </w:r>
      <w:r>
        <w:drawing xmlns:a="http://schemas.openxmlformats.org/drawingml/2006/main">
          <wp:inline distT="0" distB="0" distL="0" distR="0">
            <wp:extent cx="2746375" cy="3873033"/>
            <wp:effectExtent l="0" t="0" r="0" b="0"/>
            <wp:docPr id="1073741828" name="officeArt object" descr="Picture 36"/>
            <wp:cNvGraphicFramePr/>
            <a:graphic xmlns:a="http://schemas.openxmlformats.org/drawingml/2006/main">
              <a:graphicData uri="http://schemas.openxmlformats.org/drawingml/2006/picture">
                <pic:pic xmlns:pic="http://schemas.openxmlformats.org/drawingml/2006/picture">
                  <pic:nvPicPr>
                    <pic:cNvPr id="1073741828" name="Picture 36" descr="Picture 36"/>
                    <pic:cNvPicPr>
                      <a:picLocks noChangeAspect="1"/>
                    </pic:cNvPicPr>
                  </pic:nvPicPr>
                  <pic:blipFill>
                    <a:blip r:embed="rId7">
                      <a:extLst/>
                    </a:blip>
                    <a:stretch>
                      <a:fillRect/>
                    </a:stretch>
                  </pic:blipFill>
                  <pic:spPr>
                    <a:xfrm>
                      <a:off x="0" y="0"/>
                      <a:ext cx="2746375" cy="3873033"/>
                    </a:xfrm>
                    <a:prstGeom prst="rect">
                      <a:avLst/>
                    </a:prstGeom>
                    <a:ln w="12700" cap="flat">
                      <a:noFill/>
                      <a:miter lim="400000"/>
                    </a:ln>
                    <a:effectLst/>
                  </pic:spPr>
                </pic:pic>
              </a:graphicData>
            </a:graphic>
          </wp:inline>
        </w:drawing>
      </w:r>
    </w:p>
    <w:p>
      <w:pPr>
        <w:pStyle w:val="Body"/>
      </w:pPr>
      <w:r>
        <w:rPr>
          <w:rtl w:val="0"/>
          <w:lang w:val="en-US"/>
        </w:rPr>
        <w:t>Figure 3 (left): Assembled dilatometer blade and dilatometer blade with membrane removed</w:t>
      </w:r>
    </w:p>
    <w:p>
      <w:pPr>
        <w:pStyle w:val="Body"/>
      </w:pPr>
      <w:r>
        <w:rPr>
          <w:rtl w:val="0"/>
          <w:lang w:val="en-US"/>
        </w:rPr>
        <w:t>Figure 4 (right): Tolerances for sensing disk, feeler, and Plexiglas cylinder</w:t>
      </w:r>
    </w:p>
    <w:p>
      <w:pPr>
        <w:pStyle w:val="Body"/>
      </w:pPr>
      <w:r>
        <w:drawing xmlns:a="http://schemas.openxmlformats.org/drawingml/2006/main">
          <wp:inline distT="0" distB="0" distL="0" distR="0">
            <wp:extent cx="2649764" cy="3325495"/>
            <wp:effectExtent l="0" t="0" r="0" b="0"/>
            <wp:docPr id="1073741829" name="officeArt object" descr="Picture 18"/>
            <wp:cNvGraphicFramePr/>
            <a:graphic xmlns:a="http://schemas.openxmlformats.org/drawingml/2006/main">
              <a:graphicData uri="http://schemas.openxmlformats.org/drawingml/2006/picture">
                <pic:pic xmlns:pic="http://schemas.openxmlformats.org/drawingml/2006/picture">
                  <pic:nvPicPr>
                    <pic:cNvPr id="1073741829" name="Picture 18" descr="Picture 18"/>
                    <pic:cNvPicPr>
                      <a:picLocks noChangeAspect="1"/>
                    </pic:cNvPicPr>
                  </pic:nvPicPr>
                  <pic:blipFill>
                    <a:blip r:embed="rId8">
                      <a:extLst/>
                    </a:blip>
                    <a:stretch>
                      <a:fillRect/>
                    </a:stretch>
                  </pic:blipFill>
                  <pic:spPr>
                    <a:xfrm>
                      <a:off x="0" y="0"/>
                      <a:ext cx="2649764" cy="3325495"/>
                    </a:xfrm>
                    <a:prstGeom prst="rect">
                      <a:avLst/>
                    </a:prstGeom>
                    <a:ln w="12700" cap="flat">
                      <a:noFill/>
                      <a:miter lim="400000"/>
                    </a:ln>
                    <a:effectLst/>
                  </pic:spPr>
                </pic:pic>
              </a:graphicData>
            </a:graphic>
          </wp:inline>
        </w:drawing>
      </w:r>
      <w:r>
        <w:drawing xmlns:a="http://schemas.openxmlformats.org/drawingml/2006/main">
          <wp:inline distT="0" distB="0" distL="0" distR="0">
            <wp:extent cx="3018155" cy="3380726"/>
            <wp:effectExtent l="0" t="0" r="0" b="0"/>
            <wp:docPr id="1073741830" name="officeArt object" descr="Picture 204"/>
            <wp:cNvGraphicFramePr/>
            <a:graphic xmlns:a="http://schemas.openxmlformats.org/drawingml/2006/main">
              <a:graphicData uri="http://schemas.openxmlformats.org/drawingml/2006/picture">
                <pic:pic xmlns:pic="http://schemas.openxmlformats.org/drawingml/2006/picture">
                  <pic:nvPicPr>
                    <pic:cNvPr id="1073741830" name="Picture 204" descr="Picture 204"/>
                    <pic:cNvPicPr>
                      <a:picLocks noChangeAspect="1"/>
                    </pic:cNvPicPr>
                  </pic:nvPicPr>
                  <pic:blipFill>
                    <a:blip r:embed="rId9">
                      <a:extLst/>
                    </a:blip>
                    <a:stretch>
                      <a:fillRect/>
                    </a:stretch>
                  </pic:blipFill>
                  <pic:spPr>
                    <a:xfrm>
                      <a:off x="0" y="0"/>
                      <a:ext cx="3018155" cy="3380726"/>
                    </a:xfrm>
                    <a:prstGeom prst="rect">
                      <a:avLst/>
                    </a:prstGeom>
                    <a:ln w="12700" cap="flat">
                      <a:noFill/>
                      <a:miter lim="400000"/>
                    </a:ln>
                    <a:effectLst/>
                  </pic:spPr>
                </pic:pic>
              </a:graphicData>
            </a:graphic>
          </wp:inline>
        </w:drawing>
      </w:r>
    </w:p>
    <w:p>
      <w:pPr>
        <w:pStyle w:val="Body"/>
      </w:pPr>
      <w:r>
        <w:rPr>
          <w:rtl w:val="0"/>
          <w:lang w:val="en-US"/>
        </w:rPr>
        <w:t>Figure 5 (left): Working Principle of Dilatometer</w:t>
      </w:r>
    </w:p>
    <w:p>
      <w:pPr>
        <w:pStyle w:val="Body"/>
      </w:pPr>
      <w:r>
        <w:rPr>
          <w:rtl w:val="0"/>
          <w:lang w:val="en-US"/>
        </w:rPr>
        <w:t>Figure 6 (right): General layout of the dilatometer test</w:t>
      </w:r>
    </w:p>
    <w:p>
      <w:pPr>
        <w:pStyle w:val="Body"/>
      </w:pPr>
    </w:p>
    <w:p>
      <w:pPr>
        <w:pStyle w:val="Body"/>
      </w:pPr>
      <w:r>
        <w:rPr>
          <w:rtl w:val="0"/>
          <w:lang w:val="en-US"/>
        </w:rPr>
        <w:t xml:space="preserve">Membranes have thicknesses of either 0.20, 0.25 or 0.30 mm.  To confirm that no significant changes occur in the membrane calibrations (resistance in air), each new membrane must be exercised or stretched using pressures of 6 bars or more until their calibrations become stable.  Typically, new 0.20 and 0.25 membranes have </w:t>
      </w:r>
      <w:r>
        <w:rPr>
          <w:rFonts w:ascii="Symbol" w:hAnsi="Symbol" w:hint="default"/>
          <w:rtl w:val="0"/>
        </w:rPr>
        <w:t>D</w:t>
      </w:r>
      <w:r>
        <w:rPr>
          <w:rtl w:val="0"/>
          <w:lang w:val="en-US"/>
        </w:rPr>
        <w:t xml:space="preserve">A = 0.15 and </w:t>
      </w:r>
      <w:r>
        <w:rPr>
          <w:rFonts w:ascii="Symbol" w:hAnsi="Symbol" w:hint="default"/>
          <w:rtl w:val="0"/>
        </w:rPr>
        <w:t>D</w:t>
      </w:r>
      <w:r>
        <w:rPr>
          <w:rtl w:val="0"/>
          <w:lang w:val="en-US"/>
        </w:rPr>
        <w:t xml:space="preserve">B = 0.45, while new 0.30 membranes have </w:t>
      </w:r>
      <w:r>
        <w:rPr>
          <w:rFonts w:ascii="Symbol" w:hAnsi="Symbol" w:hint="default"/>
          <w:rtl w:val="0"/>
        </w:rPr>
        <w:t>D</w:t>
      </w:r>
      <w:r>
        <w:rPr>
          <w:rtl w:val="0"/>
          <w:lang w:val="en-US"/>
        </w:rPr>
        <w:t xml:space="preserve">A = 0.25 and </w:t>
      </w:r>
      <w:r>
        <w:rPr>
          <w:rFonts w:ascii="Symbol" w:hAnsi="Symbol" w:hint="default"/>
          <w:rtl w:val="0"/>
        </w:rPr>
        <w:t>D</w:t>
      </w:r>
      <w:r>
        <w:rPr>
          <w:rtl w:val="0"/>
          <w:lang w:val="en-US"/>
        </w:rPr>
        <w:t xml:space="preserve">B = 0.80 calibrations.  The 0.25 membranes work best for soil without gravel or debris as their before and after calibrations do not change much, while the more robust 0.30 membranes work best where gravel or debris occurs or on barge projects, where the delay costs to change a membrane are high.  The membrane rests between the </w:t>
      </w:r>
      <w:r>
        <w:rPr>
          <w:rtl w:val="1"/>
          <w:lang w:val="ar-SA" w:bidi="ar-SA"/>
        </w:rPr>
        <w:t>“</w:t>
      </w:r>
      <w:r>
        <w:rPr>
          <w:rtl w:val="0"/>
        </w:rPr>
        <w:t>A</w:t>
      </w:r>
      <w:r>
        <w:rPr>
          <w:rtl w:val="0"/>
        </w:rPr>
        <w:t xml:space="preserve">” </w:t>
      </w:r>
      <w:r>
        <w:rPr>
          <w:rtl w:val="0"/>
          <w:lang w:val="en-US"/>
        </w:rPr>
        <w:t xml:space="preserve">and </w:t>
      </w:r>
      <w:r>
        <w:rPr>
          <w:rtl w:val="1"/>
          <w:lang w:val="ar-SA" w:bidi="ar-SA"/>
        </w:rPr>
        <w:t>“</w:t>
      </w:r>
      <w:r>
        <w:rPr>
          <w:rtl w:val="0"/>
        </w:rPr>
        <w:t>B</w:t>
      </w:r>
      <w:r>
        <w:rPr>
          <w:rtl w:val="0"/>
        </w:rPr>
        <w:t xml:space="preserve">” </w:t>
      </w:r>
      <w:r>
        <w:rPr>
          <w:rtl w:val="0"/>
          <w:lang w:val="en-US"/>
        </w:rPr>
        <w:t xml:space="preserve">readings and has no electrical continuity.  A syringe applies a vacuum to the blade until the membrane contacts the blade and electrical continuity occurs.  The engineer slowly releases the vacuum until the electrical continuity stops and he/she records that vacuum value as the </w:t>
      </w:r>
      <w:r>
        <w:rPr>
          <w:rFonts w:ascii="Symbol" w:hAnsi="Symbol" w:hint="default"/>
          <w:rtl w:val="0"/>
        </w:rPr>
        <w:t>D</w:t>
      </w:r>
      <w:r>
        <w:rPr>
          <w:rtl w:val="0"/>
          <w:lang w:val="en-US"/>
        </w:rPr>
        <w:t xml:space="preserve">A reading.  Although </w:t>
      </w:r>
      <w:r>
        <w:rPr>
          <w:rFonts w:ascii="Symbol" w:hAnsi="Symbol" w:hint="default"/>
          <w:rtl w:val="0"/>
        </w:rPr>
        <w:t>D</w:t>
      </w:r>
      <w:r>
        <w:rPr>
          <w:rtl w:val="0"/>
          <w:lang w:val="en-US"/>
        </w:rPr>
        <w:t xml:space="preserve">A has a negative value of pressure, the engineer records this value as a positive value because the data processing software expects a positive number for its formulae.  The engineer then applies pressure through the syringe to the blade until it moves the membrane to its fully expanded position (~1.10 mm) and the electrical signal activates.  He/she records this pressure as the </w:t>
      </w:r>
      <w:r>
        <w:rPr>
          <w:rFonts w:ascii="Symbol" w:hAnsi="Symbol" w:hint="default"/>
          <w:rtl w:val="0"/>
        </w:rPr>
        <w:t>D</w:t>
      </w:r>
      <w:r>
        <w:rPr>
          <w:rtl w:val="0"/>
          <w:lang w:val="en-US"/>
        </w:rPr>
        <w:t xml:space="preserve">B calibration measurement.  Before and after each sounding, the engineer performs membrane calibrations at least three times or until he/she has obtained values </w:t>
      </w:r>
      <w:r>
        <w:rPr>
          <w:u w:val="single"/>
          <w:rtl w:val="0"/>
        </w:rPr>
        <w:t>+</w:t>
      </w:r>
      <w:r>
        <w:rPr>
          <w:rtl w:val="0"/>
          <w:lang w:val="en-US"/>
        </w:rPr>
        <w:t xml:space="preserve">0.01 bar.  The engineer averages the before and after calibrations, and rounds down to the nearest 0.01 bar.  </w:t>
      </w:r>
      <w:r>
        <w:rPr>
          <w:outline w:val="0"/>
          <w:color w:val="0000ff"/>
          <w:u w:color="0000ff"/>
          <w:rtl w:val="0"/>
          <w:lang w:val="it-IT"/>
          <w14:textFill>
            <w14:solidFill>
              <w14:srgbClr w14:val="0000FF"/>
            </w14:solidFill>
          </w14:textFill>
        </w:rPr>
        <w:t>(Marchetti, 1999)</w:t>
      </w:r>
      <w:r>
        <w:rPr>
          <w:rtl w:val="0"/>
        </w:rPr>
        <w:t xml:space="preserve"> </w:t>
      </w:r>
    </w:p>
    <w:p>
      <w:pPr>
        <w:pStyle w:val="Body"/>
      </w:pPr>
    </w:p>
    <w:p>
      <w:pPr>
        <w:pStyle w:val="Body"/>
      </w:pPr>
    </w:p>
    <w:p>
      <w:pPr>
        <w:pStyle w:val="Body"/>
      </w:pPr>
      <w:r>
        <w:rPr>
          <w:b w:val="1"/>
          <w:bCs w:val="1"/>
          <w:rtl w:val="0"/>
        </w:rPr>
        <w:t>Control Unit:</w:t>
      </w:r>
      <w:r>
        <w:rPr>
          <w:rtl w:val="0"/>
          <w:lang w:val="en-US"/>
        </w:rPr>
        <w:t xml:space="preserve">  The control unit takes nitrogen from the pressurized tank and sends that pressure through a pneumatic/electrical cable to the dilatometer blade</w:t>
      </w:r>
      <w:r>
        <w:rPr>
          <w:rtl w:val="1"/>
        </w:rPr>
        <w:t>’</w:t>
      </w:r>
      <w:r>
        <w:rPr>
          <w:rtl w:val="0"/>
          <w:lang w:val="en-US"/>
        </w:rPr>
        <w:t xml:space="preserve">s membrane and measures the pressure needed to inflate it.  The engineer should inflate the membrane slowly when the pressure approaches either the </w:t>
      </w:r>
      <w:r>
        <w:rPr>
          <w:rtl w:val="1"/>
          <w:lang w:val="ar-SA" w:bidi="ar-SA"/>
        </w:rPr>
        <w:t>“</w:t>
      </w:r>
      <w:r>
        <w:rPr>
          <w:rtl w:val="0"/>
        </w:rPr>
        <w:t>A</w:t>
      </w:r>
      <w:r>
        <w:rPr>
          <w:rtl w:val="0"/>
        </w:rPr>
        <w:t xml:space="preserve">” </w:t>
      </w:r>
      <w:r>
        <w:rPr>
          <w:rtl w:val="0"/>
          <w:lang w:val="en-US"/>
        </w:rPr>
        <w:t xml:space="preserve">(lift-off), </w:t>
      </w:r>
      <w:r>
        <w:rPr>
          <w:rtl w:val="1"/>
          <w:lang w:val="ar-SA" w:bidi="ar-SA"/>
        </w:rPr>
        <w:t>“</w:t>
      </w:r>
      <w:r>
        <w:rPr>
          <w:rtl w:val="0"/>
        </w:rPr>
        <w:t>B</w:t>
      </w:r>
      <w:r>
        <w:rPr>
          <w:rtl w:val="0"/>
        </w:rPr>
        <w:t xml:space="preserve">” </w:t>
      </w:r>
      <w:r>
        <w:rPr>
          <w:rtl w:val="0"/>
          <w:lang w:val="en-US"/>
        </w:rPr>
        <w:t xml:space="preserve">(fully-expanded) and deflate it slowly for optional </w:t>
      </w:r>
      <w:r>
        <w:rPr>
          <w:rtl w:val="1"/>
          <w:lang w:val="ar-SA" w:bidi="ar-SA"/>
        </w:rPr>
        <w:t>“</w:t>
      </w:r>
      <w:r>
        <w:rPr>
          <w:rtl w:val="0"/>
        </w:rPr>
        <w:t>C</w:t>
      </w:r>
      <w:r>
        <w:rPr>
          <w:rtl w:val="0"/>
        </w:rPr>
        <w:t xml:space="preserve">” </w:t>
      </w:r>
      <w:r>
        <w:rPr>
          <w:rtl w:val="0"/>
          <w:lang w:val="en-US"/>
        </w:rPr>
        <w:t>(recontact) dilatometer readings so that the pressure at the control unit equals the pressure in the dilatometer blade/membrane.  The pneumatic/electrical cable has a single wire that senses electric continuity of the membrane and connects to the underside of the sensing disk beneath the center of the membrane (Figures 7a-d).  A ground wire connects the control unit to the rods/blade and completes the electrical circuit.  When working over water, the engineer can simply put the grounding wire in the water to make continuity.</w:t>
      </w:r>
    </w:p>
    <w:p>
      <w:pPr>
        <w:pStyle w:val="Body"/>
      </w:pPr>
      <w:r>
        <w:rPr>
          <w:rtl w:val="0"/>
        </w:rPr>
        <w:t xml:space="preserve">  </w:t>
      </w:r>
    </w:p>
    <w:p>
      <w:pPr>
        <w:pStyle w:val="Body"/>
      </w:pPr>
      <w:r>
        <w:rPr>
          <w:rtl w:val="0"/>
          <w:lang w:val="en-US"/>
        </w:rPr>
        <w:t xml:space="preserve">The original style control unit (Figure 8a) and an updated version (2015) that includes pressure transducer (Figure 8b) has two analog gauges-a low pressure gauge (-1 to 10 bars) and a high-pressure gauge (0 to 60 bars).  At approximately 9.5 bars a gauge minder switch discontinues pressurizing the low-pressure gauge to protect it from overextending and becoming damaged.  For pressures less than ~9.5 bars, the engineer measures the pressure with the more accurate low-pressure gauge to the nearest 0.01 bars.  Above 9.5 bars, he/she measures the pressure with the high-pressure gauge to the nearest 0.05 bars.  The engineer reads directly over the needle and uses the mirror under the needle to avoid parallax. </w:t>
      </w:r>
    </w:p>
    <w:p>
      <w:pPr>
        <w:pStyle w:val="Body"/>
      </w:pPr>
    </w:p>
    <w:p>
      <w:pPr>
        <w:pStyle w:val="Body"/>
      </w:pPr>
      <w:r>
        <w:drawing xmlns:a="http://schemas.openxmlformats.org/drawingml/2006/main">
          <wp:inline distT="0" distB="0" distL="0" distR="0">
            <wp:extent cx="2781300" cy="3544337"/>
            <wp:effectExtent l="0" t="0" r="0" b="0"/>
            <wp:docPr id="1073741831" name="officeArt object" descr="Picture 20"/>
            <wp:cNvGraphicFramePr/>
            <a:graphic xmlns:a="http://schemas.openxmlformats.org/drawingml/2006/main">
              <a:graphicData uri="http://schemas.openxmlformats.org/drawingml/2006/picture">
                <pic:pic xmlns:pic="http://schemas.openxmlformats.org/drawingml/2006/picture">
                  <pic:nvPicPr>
                    <pic:cNvPr id="1073741831" name="Picture 20" descr="Picture 20"/>
                    <pic:cNvPicPr>
                      <a:picLocks noChangeAspect="1"/>
                    </pic:cNvPicPr>
                  </pic:nvPicPr>
                  <pic:blipFill>
                    <a:blip r:embed="rId10">
                      <a:extLst/>
                    </a:blip>
                    <a:stretch>
                      <a:fillRect/>
                    </a:stretch>
                  </pic:blipFill>
                  <pic:spPr>
                    <a:xfrm>
                      <a:off x="0" y="0"/>
                      <a:ext cx="2781300" cy="3544337"/>
                    </a:xfrm>
                    <a:prstGeom prst="rect">
                      <a:avLst/>
                    </a:prstGeom>
                    <a:ln w="12700" cap="flat">
                      <a:noFill/>
                      <a:miter lim="400000"/>
                    </a:ln>
                    <a:effectLst/>
                  </pic:spPr>
                </pic:pic>
              </a:graphicData>
            </a:graphic>
          </wp:inline>
        </w:drawing>
      </w:r>
      <w:r>
        <w:drawing xmlns:a="http://schemas.openxmlformats.org/drawingml/2006/main">
          <wp:inline distT="0" distB="0" distL="0" distR="0">
            <wp:extent cx="3011805" cy="3001508"/>
            <wp:effectExtent l="0" t="0" r="0" b="0"/>
            <wp:docPr id="1073741832" name="officeArt object" descr="Picture 205"/>
            <wp:cNvGraphicFramePr/>
            <a:graphic xmlns:a="http://schemas.openxmlformats.org/drawingml/2006/main">
              <a:graphicData uri="http://schemas.openxmlformats.org/drawingml/2006/picture">
                <pic:pic xmlns:pic="http://schemas.openxmlformats.org/drawingml/2006/picture">
                  <pic:nvPicPr>
                    <pic:cNvPr id="1073741832" name="Picture 205" descr="Picture 205"/>
                    <pic:cNvPicPr>
                      <a:picLocks noChangeAspect="1"/>
                    </pic:cNvPicPr>
                  </pic:nvPicPr>
                  <pic:blipFill>
                    <a:blip r:embed="rId11">
                      <a:extLst/>
                    </a:blip>
                    <a:stretch>
                      <a:fillRect/>
                    </a:stretch>
                  </pic:blipFill>
                  <pic:spPr>
                    <a:xfrm>
                      <a:off x="0" y="0"/>
                      <a:ext cx="3011805" cy="3001508"/>
                    </a:xfrm>
                    <a:prstGeom prst="rect">
                      <a:avLst/>
                    </a:prstGeom>
                    <a:ln w="12700" cap="flat">
                      <a:noFill/>
                      <a:miter lim="400000"/>
                    </a:ln>
                    <a:effectLst/>
                  </pic:spPr>
                </pic:pic>
              </a:graphicData>
            </a:graphic>
          </wp:inline>
        </w:drawing>
      </w:r>
    </w:p>
    <w:p>
      <w:pPr>
        <w:pStyle w:val="Body"/>
      </w:pPr>
      <w:r>
        <w:drawing xmlns:a="http://schemas.openxmlformats.org/drawingml/2006/main">
          <wp:inline distT="0" distB="0" distL="0" distR="0">
            <wp:extent cx="2997541" cy="1478915"/>
            <wp:effectExtent l="0" t="0" r="0" b="0"/>
            <wp:docPr id="1073741833" name="officeArt object" descr="Picture 206"/>
            <wp:cNvGraphicFramePr/>
            <a:graphic xmlns:a="http://schemas.openxmlformats.org/drawingml/2006/main">
              <a:graphicData uri="http://schemas.openxmlformats.org/drawingml/2006/picture">
                <pic:pic xmlns:pic="http://schemas.openxmlformats.org/drawingml/2006/picture">
                  <pic:nvPicPr>
                    <pic:cNvPr id="1073741833" name="Picture 206" descr="Picture 206"/>
                    <pic:cNvPicPr>
                      <a:picLocks noChangeAspect="1"/>
                    </pic:cNvPicPr>
                  </pic:nvPicPr>
                  <pic:blipFill>
                    <a:blip r:embed="rId12">
                      <a:extLst/>
                    </a:blip>
                    <a:stretch>
                      <a:fillRect/>
                    </a:stretch>
                  </pic:blipFill>
                  <pic:spPr>
                    <a:xfrm>
                      <a:off x="0" y="0"/>
                      <a:ext cx="2997541" cy="1478915"/>
                    </a:xfrm>
                    <a:prstGeom prst="rect">
                      <a:avLst/>
                    </a:prstGeom>
                    <a:ln w="12700" cap="flat">
                      <a:noFill/>
                      <a:miter lim="400000"/>
                    </a:ln>
                    <a:effectLst/>
                  </pic:spPr>
                </pic:pic>
              </a:graphicData>
            </a:graphic>
          </wp:inline>
        </w:drawing>
      </w:r>
      <w:r>
        <w:drawing xmlns:a="http://schemas.openxmlformats.org/drawingml/2006/main">
          <wp:inline distT="0" distB="0" distL="0" distR="0">
            <wp:extent cx="2554602" cy="1536036"/>
            <wp:effectExtent l="0" t="0" r="0" b="0"/>
            <wp:docPr id="1073741834" name="officeArt object" descr="Picture 207"/>
            <wp:cNvGraphicFramePr/>
            <a:graphic xmlns:a="http://schemas.openxmlformats.org/drawingml/2006/main">
              <a:graphicData uri="http://schemas.openxmlformats.org/drawingml/2006/picture">
                <pic:pic xmlns:pic="http://schemas.openxmlformats.org/drawingml/2006/picture">
                  <pic:nvPicPr>
                    <pic:cNvPr id="1073741834" name="Picture 207" descr="Picture 207"/>
                    <pic:cNvPicPr>
                      <a:picLocks noChangeAspect="1"/>
                    </pic:cNvPicPr>
                  </pic:nvPicPr>
                  <pic:blipFill>
                    <a:blip r:embed="rId13">
                      <a:extLst/>
                    </a:blip>
                    <a:stretch>
                      <a:fillRect/>
                    </a:stretch>
                  </pic:blipFill>
                  <pic:spPr>
                    <a:xfrm>
                      <a:off x="0" y="0"/>
                      <a:ext cx="2554602" cy="1536036"/>
                    </a:xfrm>
                    <a:prstGeom prst="rect">
                      <a:avLst/>
                    </a:prstGeom>
                    <a:ln w="12700" cap="flat">
                      <a:noFill/>
                      <a:miter lim="400000"/>
                    </a:ln>
                    <a:effectLst/>
                  </pic:spPr>
                </pic:pic>
              </a:graphicData>
            </a:graphic>
          </wp:inline>
        </w:drawing>
      </w:r>
    </w:p>
    <w:p>
      <w:pPr>
        <w:pStyle w:val="Body"/>
      </w:pPr>
      <w:r>
        <w:rPr>
          <w:rtl w:val="0"/>
          <w:lang w:val="en-US"/>
        </w:rPr>
        <w:t xml:space="preserve">Figures 7a-d: Pneumatic-electrical cables; Throat detail; Male Connector; Female Connector </w:t>
      </w:r>
    </w:p>
    <w:p>
      <w:pPr>
        <w:pStyle w:val="Body"/>
      </w:pPr>
    </w:p>
    <w:p>
      <w:pPr>
        <w:pStyle w:val="Body"/>
      </w:pPr>
      <w:r>
        <w:drawing xmlns:a="http://schemas.openxmlformats.org/drawingml/2006/main">
          <wp:inline distT="0" distB="0" distL="0" distR="0">
            <wp:extent cx="2952694" cy="3543864"/>
            <wp:effectExtent l="0" t="0" r="0" b="0"/>
            <wp:docPr id="1073741835" name="officeArt object" descr="Picture 37"/>
            <wp:cNvGraphicFramePr/>
            <a:graphic xmlns:a="http://schemas.openxmlformats.org/drawingml/2006/main">
              <a:graphicData uri="http://schemas.openxmlformats.org/drawingml/2006/picture">
                <pic:pic xmlns:pic="http://schemas.openxmlformats.org/drawingml/2006/picture">
                  <pic:nvPicPr>
                    <pic:cNvPr id="1073741835" name="Picture 37" descr="Picture 37"/>
                    <pic:cNvPicPr>
                      <a:picLocks noChangeAspect="1"/>
                    </pic:cNvPicPr>
                  </pic:nvPicPr>
                  <pic:blipFill>
                    <a:blip r:embed="rId14">
                      <a:extLst/>
                    </a:blip>
                    <a:stretch>
                      <a:fillRect/>
                    </a:stretch>
                  </pic:blipFill>
                  <pic:spPr>
                    <a:xfrm>
                      <a:off x="0" y="0"/>
                      <a:ext cx="2952694" cy="3543864"/>
                    </a:xfrm>
                    <a:prstGeom prst="rect">
                      <a:avLst/>
                    </a:prstGeom>
                    <a:ln w="12700" cap="flat">
                      <a:noFill/>
                      <a:miter lim="400000"/>
                    </a:ln>
                    <a:effectLst/>
                  </pic:spPr>
                </pic:pic>
              </a:graphicData>
            </a:graphic>
          </wp:inline>
        </w:drawing>
      </w:r>
      <w:r>
        <w:drawing xmlns:a="http://schemas.openxmlformats.org/drawingml/2006/main">
          <wp:inline distT="0" distB="0" distL="0" distR="0">
            <wp:extent cx="2468880" cy="3529584"/>
            <wp:effectExtent l="0" t="0" r="0" b="0"/>
            <wp:docPr id="1073741836" name="officeArt object" descr="Picture 209"/>
            <wp:cNvGraphicFramePr/>
            <a:graphic xmlns:a="http://schemas.openxmlformats.org/drawingml/2006/main">
              <a:graphicData uri="http://schemas.openxmlformats.org/drawingml/2006/picture">
                <pic:pic xmlns:pic="http://schemas.openxmlformats.org/drawingml/2006/picture">
                  <pic:nvPicPr>
                    <pic:cNvPr id="1073741836" name="Picture 209" descr="Picture 209"/>
                    <pic:cNvPicPr>
                      <a:picLocks noChangeAspect="1"/>
                    </pic:cNvPicPr>
                  </pic:nvPicPr>
                  <pic:blipFill>
                    <a:blip r:embed="rId15">
                      <a:extLst/>
                    </a:blip>
                    <a:stretch>
                      <a:fillRect/>
                    </a:stretch>
                  </pic:blipFill>
                  <pic:spPr>
                    <a:xfrm>
                      <a:off x="0" y="0"/>
                      <a:ext cx="2468880" cy="3529584"/>
                    </a:xfrm>
                    <a:prstGeom prst="rect">
                      <a:avLst/>
                    </a:prstGeom>
                    <a:ln w="12700" cap="flat">
                      <a:noFill/>
                      <a:miter lim="400000"/>
                    </a:ln>
                    <a:effectLst/>
                  </pic:spPr>
                </pic:pic>
              </a:graphicData>
            </a:graphic>
          </wp:inline>
        </w:drawing>
      </w:r>
    </w:p>
    <w:p>
      <w:pPr>
        <w:pStyle w:val="Body"/>
      </w:pPr>
      <w:r>
        <w:rPr>
          <w:rtl w:val="0"/>
          <w:lang w:val="en-US"/>
        </w:rPr>
        <w:t>Figure 8a: Original style control unit</w:t>
        <w:tab/>
        <w:tab/>
        <w:t>Figure 8b: Updated control unit-transducer/seismic</w:t>
      </w:r>
    </w:p>
    <w:p>
      <w:pPr>
        <w:pStyle w:val="Body"/>
      </w:pPr>
    </w:p>
    <w:p>
      <w:pPr>
        <w:pStyle w:val="Body"/>
      </w:pPr>
      <w:r>
        <w:rPr>
          <w:rtl w:val="0"/>
          <w:lang w:val="en-US"/>
        </w:rPr>
        <w:t xml:space="preserve">In 2006, a computer using an </w:t>
      </w:r>
      <w:r>
        <w:rPr>
          <w:rtl w:val="1"/>
          <w:lang w:val="ar-SA" w:bidi="ar-SA"/>
        </w:rPr>
        <w:t>“</w:t>
      </w:r>
      <w:r>
        <w:rPr>
          <w:rtl w:val="0"/>
          <w:lang w:val="en-US"/>
        </w:rPr>
        <w:t>add-on</w:t>
      </w:r>
      <w:r>
        <w:rPr>
          <w:rtl w:val="0"/>
        </w:rPr>
        <w:t xml:space="preserve">” </w:t>
      </w:r>
      <w:r>
        <w:rPr>
          <w:rtl w:val="0"/>
          <w:lang w:val="en-US"/>
        </w:rPr>
        <w:t xml:space="preserve">box that connects to the side of the original control unit contained a pressure transducer to make more accurate measurements (Figure 9).  The </w:t>
      </w:r>
      <w:r>
        <w:rPr>
          <w:rtl w:val="1"/>
          <w:lang w:val="ar-SA" w:bidi="ar-SA"/>
        </w:rPr>
        <w:t>“</w:t>
      </w:r>
      <w:r>
        <w:rPr>
          <w:rtl w:val="0"/>
          <w:lang w:val="en-US"/>
        </w:rPr>
        <w:t>add-on</w:t>
      </w:r>
      <w:r>
        <w:rPr>
          <w:rtl w:val="0"/>
        </w:rPr>
        <w:t xml:space="preserve">” </w:t>
      </w:r>
      <w:r>
        <w:rPr>
          <w:rtl w:val="0"/>
          <w:lang w:val="en-US"/>
        </w:rPr>
        <w:t>box eliminates the human gauge reading error and updates the acquisition system for shear wave measurements from the seismic module.</w:t>
      </w:r>
    </w:p>
    <w:p>
      <w:pPr>
        <w:pStyle w:val="Body"/>
      </w:pPr>
    </w:p>
    <w:p>
      <w:pPr>
        <w:pStyle w:val="Body"/>
      </w:pPr>
      <w:r>
        <w:rPr>
          <w:rtl w:val="0"/>
          <w:lang w:val="en-US"/>
        </w:rPr>
        <w:t xml:space="preserve">In 2020, the </w:t>
      </w:r>
      <w:r>
        <w:rPr>
          <w:rtl w:val="1"/>
          <w:lang w:val="ar-SA" w:bidi="ar-SA"/>
        </w:rPr>
        <w:t>“</w:t>
      </w:r>
      <w:r>
        <w:rPr>
          <w:rtl w:val="0"/>
        </w:rPr>
        <w:t>Medusa</w:t>
      </w:r>
      <w:r>
        <w:rPr>
          <w:rtl w:val="0"/>
        </w:rPr>
        <w:t xml:space="preserve">” </w:t>
      </w:r>
      <w:r>
        <w:rPr>
          <w:rtl w:val="0"/>
          <w:lang w:val="en-US"/>
        </w:rPr>
        <w:t xml:space="preserve">automatic dilatometer probe was manufactured (we own serial numbers 01 and 02).  Basically, the </w:t>
      </w:r>
      <w:r>
        <w:rPr>
          <w:rtl w:val="1"/>
          <w:lang w:val="ar-SA" w:bidi="ar-SA"/>
        </w:rPr>
        <w:t>“</w:t>
      </w:r>
      <w:r>
        <w:rPr>
          <w:rtl w:val="0"/>
        </w:rPr>
        <w:t>Medusa</w:t>
      </w:r>
      <w:r>
        <w:rPr>
          <w:rtl w:val="0"/>
        </w:rPr>
        <w:t xml:space="preserve">” </w:t>
      </w:r>
      <w:r>
        <w:rPr>
          <w:rtl w:val="0"/>
          <w:lang w:val="en-US"/>
        </w:rPr>
        <w:t xml:space="preserve">has its control unit downhole in a module just above the blade.  This system has an electrical motor that moves a miniature piston that pressurizes vegetable oil that either pushes or retracts the membrane (Figure 10).  Its pressure transducer makes the measurements and transmits them via a data cable to the computer at the surface.  Because the </w:t>
      </w:r>
      <w:r>
        <w:rPr>
          <w:rtl w:val="1"/>
          <w:lang w:val="ar-SA" w:bidi="ar-SA"/>
        </w:rPr>
        <w:t>“</w:t>
      </w:r>
      <w:r>
        <w:rPr>
          <w:rtl w:val="0"/>
        </w:rPr>
        <w:t>Medusa</w:t>
      </w:r>
      <w:r>
        <w:rPr>
          <w:rtl w:val="0"/>
        </w:rPr>
        <w:t xml:space="preserve">” </w:t>
      </w:r>
      <w:r>
        <w:rPr>
          <w:rtl w:val="0"/>
          <w:lang w:val="en-US"/>
        </w:rPr>
        <w:t xml:space="preserve">knows how far the piston needs to extend for each reading, it makes those readings accurately at ~15 second intervals, based on the electrical continuity as with the other control units.  The </w:t>
      </w:r>
      <w:r>
        <w:rPr>
          <w:rtl w:val="1"/>
          <w:lang w:val="ar-SA" w:bidi="ar-SA"/>
        </w:rPr>
        <w:t>“</w:t>
      </w:r>
      <w:r>
        <w:rPr>
          <w:rtl w:val="0"/>
        </w:rPr>
        <w:t>Medusa</w:t>
      </w:r>
      <w:r>
        <w:rPr>
          <w:rtl w:val="0"/>
        </w:rPr>
        <w:t xml:space="preserve">” </w:t>
      </w:r>
      <w:r>
        <w:rPr>
          <w:rtl w:val="0"/>
          <w:lang w:val="en-US"/>
        </w:rPr>
        <w:t xml:space="preserve">eliminates the time lag for the pressure at the control unit to equal the pressure at the membrane.  Additionally, it can measure the </w:t>
      </w:r>
      <w:r>
        <w:rPr>
          <w:rtl w:val="1"/>
          <w:lang w:val="ar-SA" w:bidi="ar-SA"/>
        </w:rPr>
        <w:t>“</w:t>
      </w:r>
      <w:r>
        <w:rPr>
          <w:rtl w:val="0"/>
        </w:rPr>
        <w:t>A</w:t>
      </w:r>
      <w:r>
        <w:rPr>
          <w:rtl w:val="0"/>
        </w:rPr>
        <w:t xml:space="preserve">” </w:t>
      </w:r>
      <w:r>
        <w:rPr>
          <w:rtl w:val="0"/>
          <w:lang w:val="en-US"/>
        </w:rPr>
        <w:t xml:space="preserve">reading either while the blade stops for a complete </w:t>
      </w:r>
      <w:r>
        <w:rPr>
          <w:rtl w:val="1"/>
          <w:lang w:val="ar-SA" w:bidi="ar-SA"/>
        </w:rPr>
        <w:t>“</w:t>
      </w:r>
      <w:r>
        <w:rPr>
          <w:rtl w:val="0"/>
        </w:rPr>
        <w:t>A</w:t>
      </w:r>
      <w:r>
        <w:rPr>
          <w:rtl w:val="0"/>
        </w:rPr>
        <w:t xml:space="preserve">” </w:t>
      </w:r>
      <w:r>
        <w:rPr>
          <w:rtl w:val="0"/>
          <w:lang w:val="en-US"/>
        </w:rPr>
        <w:t xml:space="preserve">dissipation test or while the blade pushes into the soil for a continuous </w:t>
      </w:r>
      <w:r>
        <w:rPr>
          <w:rtl w:val="1"/>
          <w:lang w:val="ar-SA" w:bidi="ar-SA"/>
        </w:rPr>
        <w:t>“</w:t>
      </w:r>
      <w:r>
        <w:rPr>
          <w:rtl w:val="0"/>
        </w:rPr>
        <w:t>A</w:t>
      </w:r>
      <w:r>
        <w:rPr>
          <w:rtl w:val="0"/>
        </w:rPr>
        <w:t xml:space="preserve">” </w:t>
      </w:r>
      <w:r>
        <w:rPr>
          <w:rtl w:val="0"/>
          <w:lang w:val="en-US"/>
        </w:rPr>
        <w:t>reading or horizontal stress profile.</w:t>
      </w:r>
    </w:p>
    <w:p>
      <w:pPr>
        <w:pStyle w:val="Body"/>
      </w:pPr>
    </w:p>
    <w:p>
      <w:pPr>
        <w:pStyle w:val="Body"/>
        <w:jc w:val="right"/>
      </w:pPr>
      <w:r>
        <w:drawing xmlns:a="http://schemas.openxmlformats.org/drawingml/2006/main">
          <wp:anchor distT="57150" distB="57150" distL="57150" distR="57150" simplePos="0" relativeHeight="251661312" behindDoc="0" locked="0" layoutInCell="1" allowOverlap="1">
            <wp:simplePos x="0" y="0"/>
            <wp:positionH relativeFrom="column">
              <wp:posOffset>22859</wp:posOffset>
            </wp:positionH>
            <wp:positionV relativeFrom="line">
              <wp:posOffset>4444</wp:posOffset>
            </wp:positionV>
            <wp:extent cx="2267712" cy="3236977"/>
            <wp:effectExtent l="0" t="0" r="0" b="0"/>
            <wp:wrapSquare wrapText="bothSides" distL="57150" distR="57150" distT="57150" distB="57150"/>
            <wp:docPr id="1073741837" name="officeArt object" descr="Picture 4"/>
            <wp:cNvGraphicFramePr/>
            <a:graphic xmlns:a="http://schemas.openxmlformats.org/drawingml/2006/main">
              <a:graphicData uri="http://schemas.openxmlformats.org/drawingml/2006/picture">
                <pic:pic xmlns:pic="http://schemas.openxmlformats.org/drawingml/2006/picture">
                  <pic:nvPicPr>
                    <pic:cNvPr id="1073741837" name="Picture 4" descr="Picture 4"/>
                    <pic:cNvPicPr>
                      <a:picLocks noChangeAspect="1"/>
                    </pic:cNvPicPr>
                  </pic:nvPicPr>
                  <pic:blipFill>
                    <a:blip r:embed="rId16">
                      <a:extLst/>
                    </a:blip>
                    <a:stretch>
                      <a:fillRect/>
                    </a:stretch>
                  </pic:blipFill>
                  <pic:spPr>
                    <a:xfrm>
                      <a:off x="0" y="0"/>
                      <a:ext cx="2267712" cy="3236977"/>
                    </a:xfrm>
                    <a:prstGeom prst="rect">
                      <a:avLst/>
                    </a:prstGeom>
                    <a:ln w="12700" cap="flat">
                      <a:noFill/>
                      <a:miter lim="400000"/>
                    </a:ln>
                    <a:effectLst/>
                  </pic:spPr>
                </pic:pic>
              </a:graphicData>
            </a:graphic>
          </wp:anchor>
        </w:drawing>
      </w:r>
      <w:r>
        <w:drawing xmlns:a="http://schemas.openxmlformats.org/drawingml/2006/main">
          <wp:inline distT="0" distB="0" distL="0" distR="0">
            <wp:extent cx="2441449" cy="3236977"/>
            <wp:effectExtent l="0" t="0" r="0" b="0"/>
            <wp:docPr id="1073741838" name="officeArt object" descr="Picture 14"/>
            <wp:cNvGraphicFramePr/>
            <a:graphic xmlns:a="http://schemas.openxmlformats.org/drawingml/2006/main">
              <a:graphicData uri="http://schemas.openxmlformats.org/drawingml/2006/picture">
                <pic:pic xmlns:pic="http://schemas.openxmlformats.org/drawingml/2006/picture">
                  <pic:nvPicPr>
                    <pic:cNvPr id="1073741838" name="Picture 14" descr="Picture 14"/>
                    <pic:cNvPicPr>
                      <a:picLocks noChangeAspect="1"/>
                    </pic:cNvPicPr>
                  </pic:nvPicPr>
                  <pic:blipFill>
                    <a:blip r:embed="rId17">
                      <a:extLst/>
                    </a:blip>
                    <a:stretch>
                      <a:fillRect/>
                    </a:stretch>
                  </pic:blipFill>
                  <pic:spPr>
                    <a:xfrm>
                      <a:off x="0" y="0"/>
                      <a:ext cx="2441449" cy="3236977"/>
                    </a:xfrm>
                    <a:prstGeom prst="rect">
                      <a:avLst/>
                    </a:prstGeom>
                    <a:ln w="12700" cap="flat">
                      <a:noFill/>
                      <a:miter lim="400000"/>
                    </a:ln>
                    <a:effectLst/>
                  </pic:spPr>
                </pic:pic>
              </a:graphicData>
            </a:graphic>
          </wp:inline>
        </w:drawing>
      </w:r>
    </w:p>
    <w:p>
      <w:pPr>
        <w:pStyle w:val="Body"/>
      </w:pPr>
    </w:p>
    <w:p>
      <w:pPr>
        <w:pStyle w:val="Body"/>
      </w:pPr>
      <w:r>
        <w:rPr>
          <w:rtl w:val="0"/>
          <w:lang w:val="en-US"/>
        </w:rPr>
        <w:t xml:space="preserve">Figure 9: </w:t>
      </w:r>
      <w:r>
        <w:rPr>
          <w:rtl w:val="1"/>
          <w:lang w:val="ar-SA" w:bidi="ar-SA"/>
        </w:rPr>
        <w:t>“</w:t>
      </w:r>
      <w:r>
        <w:rPr>
          <w:rtl w:val="0"/>
          <w:lang w:val="en-US"/>
        </w:rPr>
        <w:t>Add-on</w:t>
      </w:r>
      <w:r>
        <w:rPr>
          <w:rtl w:val="0"/>
        </w:rPr>
        <w:t xml:space="preserve">” </w:t>
      </w:r>
      <w:r>
        <w:rPr>
          <w:rtl w:val="0"/>
          <w:lang w:val="en-US"/>
        </w:rPr>
        <w:t>Box</w:t>
        <w:tab/>
        <w:tab/>
        <w:tab/>
        <w:tab/>
        <w:tab/>
        <w:t>Figure 10: Medusa Automatic DMT</w:t>
      </w:r>
    </w:p>
    <w:p>
      <w:pPr>
        <w:pStyle w:val="Body"/>
        <w:rPr>
          <w:b w:val="1"/>
          <w:bCs w:val="1"/>
        </w:rPr>
      </w:pPr>
      <w:r>
        <w:rPr>
          <w:rtl w:val="0"/>
        </w:rPr>
        <w:t xml:space="preserve"> </w:t>
      </w:r>
    </w:p>
    <w:p>
      <w:pPr>
        <w:pStyle w:val="Body"/>
      </w:pPr>
      <w:r>
        <w:rPr>
          <w:rFonts w:ascii="Arial Unicode MS" w:cs="Arial Unicode MS" w:hAnsi="Arial Unicode MS" w:eastAsia="Arial Unicode MS"/>
          <w:b w:val="0"/>
          <w:bCs w:val="0"/>
          <w:i w:val="0"/>
          <w:iCs w:val="0"/>
        </w:rPr>
        <w:br w:type="page"/>
      </w:r>
    </w:p>
    <w:p>
      <w:pPr>
        <w:pStyle w:val="Body"/>
        <w:rPr>
          <w:b w:val="1"/>
          <w:bCs w:val="1"/>
          <w:sz w:val="28"/>
          <w:szCs w:val="28"/>
        </w:rPr>
      </w:pPr>
      <w:r>
        <w:rPr>
          <w:b w:val="1"/>
          <w:bCs w:val="1"/>
          <w:sz w:val="28"/>
          <w:szCs w:val="28"/>
          <w:rtl w:val="0"/>
          <w:lang w:val="en-US"/>
        </w:rPr>
        <w:t>Performing Dilatometer Tests:</w:t>
      </w:r>
    </w:p>
    <w:p>
      <w:pPr>
        <w:pStyle w:val="Body"/>
        <w:rPr>
          <w:b w:val="1"/>
          <w:bCs w:val="1"/>
        </w:rPr>
      </w:pPr>
    </w:p>
    <w:p>
      <w:pPr>
        <w:pStyle w:val="Body"/>
      </w:pPr>
      <w:r>
        <w:drawing xmlns:a="http://schemas.openxmlformats.org/drawingml/2006/main">
          <wp:anchor distT="57150" distB="57150" distL="57150" distR="57150" simplePos="0" relativeHeight="251666432" behindDoc="0" locked="0" layoutInCell="1" allowOverlap="1">
            <wp:simplePos x="0" y="0"/>
            <wp:positionH relativeFrom="page">
              <wp:posOffset>3505200</wp:posOffset>
            </wp:positionH>
            <wp:positionV relativeFrom="line">
              <wp:posOffset>3368675</wp:posOffset>
            </wp:positionV>
            <wp:extent cx="3352800" cy="4240530"/>
            <wp:effectExtent l="0" t="0" r="0" b="0"/>
            <wp:wrapSquare wrapText="bothSides" distL="57150" distR="57150" distT="57150" distB="57150"/>
            <wp:docPr id="1073741839" name="officeArt object" descr="Picture 53"/>
            <wp:cNvGraphicFramePr/>
            <a:graphic xmlns:a="http://schemas.openxmlformats.org/drawingml/2006/main">
              <a:graphicData uri="http://schemas.openxmlformats.org/drawingml/2006/picture">
                <pic:pic xmlns:pic="http://schemas.openxmlformats.org/drawingml/2006/picture">
                  <pic:nvPicPr>
                    <pic:cNvPr id="1073741839" name="Picture 53" descr="Picture 53"/>
                    <pic:cNvPicPr>
                      <a:picLocks noChangeAspect="1"/>
                    </pic:cNvPicPr>
                  </pic:nvPicPr>
                  <pic:blipFill>
                    <a:blip r:embed="rId18">
                      <a:extLst/>
                    </a:blip>
                    <a:stretch>
                      <a:fillRect/>
                    </a:stretch>
                  </pic:blipFill>
                  <pic:spPr>
                    <a:xfrm>
                      <a:off x="0" y="0"/>
                      <a:ext cx="3352800" cy="4240530"/>
                    </a:xfrm>
                    <a:prstGeom prst="rect">
                      <a:avLst/>
                    </a:prstGeom>
                    <a:ln w="12700" cap="flat">
                      <a:noFill/>
                      <a:miter lim="400000"/>
                    </a:ln>
                    <a:effectLst/>
                  </pic:spPr>
                </pic:pic>
              </a:graphicData>
            </a:graphic>
          </wp:anchor>
        </w:drawing>
      </w:r>
      <w:r>
        <w:rPr>
          <w:rtl w:val="0"/>
          <w:lang w:val="en-US"/>
        </w:rPr>
        <w:t>After pushing the dilatometer blade at the ASTM constant rate of 2 cm/second to the test depth, the engineer inflates the membrane outward, first measuring the pressure where the membrane lifts off from the blade (</w:t>
      </w:r>
      <w:r>
        <w:rPr>
          <w:rtl w:val="1"/>
          <w:lang w:val="ar-SA" w:bidi="ar-SA"/>
        </w:rPr>
        <w:t>“</w:t>
      </w:r>
      <w:r>
        <w:rPr>
          <w:rtl w:val="0"/>
        </w:rPr>
        <w:t>A</w:t>
      </w:r>
      <w:r>
        <w:rPr>
          <w:rtl w:val="0"/>
        </w:rPr>
        <w:t xml:space="preserve">” </w:t>
      </w:r>
      <w:r>
        <w:rPr>
          <w:rtl w:val="0"/>
          <w:lang w:val="en-US"/>
        </w:rPr>
        <w:t>reading) and the pressure where the membrane is fully expanded (1.1 mm away from the blade) (</w:t>
      </w:r>
      <w:r>
        <w:rPr>
          <w:rtl w:val="1"/>
          <w:lang w:val="ar-SA" w:bidi="ar-SA"/>
        </w:rPr>
        <w:t>“</w:t>
      </w:r>
      <w:r>
        <w:rPr>
          <w:rtl w:val="0"/>
        </w:rPr>
        <w:t>B</w:t>
      </w:r>
      <w:r>
        <w:rPr>
          <w:rtl w:val="0"/>
        </w:rPr>
        <w:t xml:space="preserve">” </w:t>
      </w:r>
      <w:r>
        <w:rPr>
          <w:rtl w:val="0"/>
          <w:lang w:val="en-US"/>
        </w:rPr>
        <w:t xml:space="preserve">reading). The fully expanded position represents a radial strain equal to 1.1mm/7.5mm (half the blade thickness) or 14.7%.  The surrounding soil usually collapses the 60-mm-diameter stainless steel membrane flush against the blade during the penetration, providing electrical continuity for the </w:t>
      </w:r>
      <w:r>
        <w:rPr>
          <w:rtl w:val="1"/>
          <w:lang w:val="ar-SA" w:bidi="ar-SA"/>
        </w:rPr>
        <w:t>“</w:t>
      </w:r>
      <w:r>
        <w:rPr>
          <w:rtl w:val="0"/>
        </w:rPr>
        <w:t>A</w:t>
      </w:r>
      <w:r>
        <w:rPr>
          <w:rtl w:val="0"/>
        </w:rPr>
        <w:t xml:space="preserve">” </w:t>
      </w:r>
      <w:r>
        <w:rPr>
          <w:rtl w:val="0"/>
          <w:lang w:val="en-US"/>
        </w:rPr>
        <w:t xml:space="preserve">reading.  (In very weak soils, the engineer may need to apply a vacuum to make the membrane contact the blade prior to pushing.)  The engineer should measure the thrust needed to advance the blade to the test depth.  Bullock (2015) shows that thrust measurements made at the surface equaled measurements made at the friction reducer just above the blade if the soundings were less than 12 m (40 feet) (Figure 11).  Calculation of the angle of internal friction, lateral stress coefficient at rest, and pre-consolidation pressure in cohesionless soil require thrust measurements.  Before starting the DMT test, the engineer can compare the thrust measurement with previous thrust data and their corresponding dilatometer </w:t>
      </w:r>
      <w:r>
        <w:rPr>
          <w:rtl w:val="1"/>
          <w:lang w:val="ar-SA" w:bidi="ar-SA"/>
        </w:rPr>
        <w:t>“</w:t>
      </w:r>
      <w:r>
        <w:rPr>
          <w:rtl w:val="0"/>
        </w:rPr>
        <w:t>A</w:t>
      </w:r>
      <w:r>
        <w:rPr>
          <w:rtl w:val="0"/>
        </w:rPr>
        <w:t xml:space="preserve">” </w:t>
      </w:r>
      <w:r>
        <w:rPr>
          <w:rtl w:val="0"/>
          <w:lang w:val="en-US"/>
        </w:rPr>
        <w:t xml:space="preserve">and </w:t>
      </w:r>
      <w:r>
        <w:rPr>
          <w:rtl w:val="1"/>
          <w:lang w:val="ar-SA" w:bidi="ar-SA"/>
        </w:rPr>
        <w:t>“</w:t>
      </w:r>
      <w:r>
        <w:rPr>
          <w:rtl w:val="0"/>
        </w:rPr>
        <w:t>B</w:t>
      </w:r>
      <w:r>
        <w:rPr>
          <w:rtl w:val="0"/>
        </w:rPr>
        <w:t xml:space="preserve">” </w:t>
      </w:r>
      <w:r>
        <w:rPr>
          <w:rtl w:val="0"/>
          <w:lang w:val="en-US"/>
        </w:rPr>
        <w:t xml:space="preserve">readings, to predict what the dilatometer </w:t>
      </w:r>
      <w:r>
        <w:rPr>
          <w:rtl w:val="1"/>
          <w:lang w:val="ar-SA" w:bidi="ar-SA"/>
        </w:rPr>
        <w:t>“</w:t>
      </w:r>
      <w:r>
        <w:rPr>
          <w:rtl w:val="0"/>
        </w:rPr>
        <w:t>A</w:t>
      </w:r>
      <w:r>
        <w:rPr>
          <w:rtl w:val="0"/>
        </w:rPr>
        <w:t xml:space="preserve">” </w:t>
      </w:r>
      <w:r>
        <w:rPr>
          <w:rtl w:val="0"/>
          <w:lang w:val="en-US"/>
        </w:rPr>
        <w:t xml:space="preserve">and </w:t>
      </w:r>
      <w:r>
        <w:rPr>
          <w:rtl w:val="1"/>
          <w:lang w:val="ar-SA" w:bidi="ar-SA"/>
        </w:rPr>
        <w:t>“</w:t>
      </w:r>
      <w:r>
        <w:rPr>
          <w:rtl w:val="0"/>
        </w:rPr>
        <w:t>B</w:t>
      </w:r>
      <w:r>
        <w:rPr>
          <w:rtl w:val="0"/>
        </w:rPr>
        <w:t xml:space="preserve">” </w:t>
      </w:r>
      <w:r>
        <w:rPr>
          <w:rtl w:val="0"/>
          <w:lang w:val="en-US"/>
        </w:rPr>
        <w:t xml:space="preserve">readings may likely be.  The ratio of </w:t>
      </w:r>
      <w:r>
        <w:rPr>
          <w:rtl w:val="1"/>
          <w:lang w:val="ar-SA" w:bidi="ar-SA"/>
        </w:rPr>
        <w:t>“</w:t>
      </w:r>
      <w:r>
        <w:rPr>
          <w:rtl w:val="0"/>
        </w:rPr>
        <w:t>B</w:t>
      </w:r>
      <w:r>
        <w:rPr>
          <w:rtl w:val="0"/>
        </w:rPr>
        <w:t>”</w:t>
      </w:r>
      <w:r>
        <w:rPr>
          <w:rtl w:val="0"/>
        </w:rPr>
        <w:t>/</w:t>
      </w:r>
      <w:r>
        <w:rPr>
          <w:rtl w:val="1"/>
          <w:lang w:val="ar-SA" w:bidi="ar-SA"/>
        </w:rPr>
        <w:t>“</w:t>
      </w:r>
      <w:r>
        <w:rPr>
          <w:rtl w:val="0"/>
        </w:rPr>
        <w:t>A</w:t>
      </w:r>
      <w:r>
        <w:rPr>
          <w:rtl w:val="0"/>
        </w:rPr>
        <w:t xml:space="preserve">” </w:t>
      </w:r>
      <w:r>
        <w:rPr>
          <w:rtl w:val="0"/>
          <w:lang w:val="en-US"/>
        </w:rPr>
        <w:t xml:space="preserve">stays approximately the same for the same soil type.  For cohesive soil that ratio approximates 1.5, while for cohesionless soil that ratio approximates 3.  After measuring the </w:t>
      </w:r>
      <w:r>
        <w:rPr>
          <w:rtl w:val="1"/>
          <w:lang w:val="ar-SA" w:bidi="ar-SA"/>
        </w:rPr>
        <w:t>“</w:t>
      </w:r>
      <w:r>
        <w:rPr>
          <w:rtl w:val="0"/>
        </w:rPr>
        <w:t>A</w:t>
      </w:r>
      <w:r>
        <w:rPr>
          <w:rtl w:val="0"/>
        </w:rPr>
        <w:t xml:space="preserve">” </w:t>
      </w:r>
      <w:r>
        <w:rPr>
          <w:rtl w:val="0"/>
          <w:lang w:val="en-US"/>
        </w:rPr>
        <w:t xml:space="preserve">reading, and if the thrust is similar to the previous value, the engineer can assume that the soil type and its </w:t>
      </w:r>
      <w:r>
        <w:rPr>
          <w:rtl w:val="1"/>
          <w:lang w:val="ar-SA" w:bidi="ar-SA"/>
        </w:rPr>
        <w:t>“</w:t>
      </w:r>
      <w:r>
        <w:rPr>
          <w:rtl w:val="0"/>
        </w:rPr>
        <w:t>B</w:t>
      </w:r>
      <w:r>
        <w:rPr>
          <w:rtl w:val="0"/>
        </w:rPr>
        <w:t>”</w:t>
      </w:r>
      <w:r>
        <w:rPr>
          <w:rtl w:val="0"/>
        </w:rPr>
        <w:t>/</w:t>
      </w:r>
      <w:r>
        <w:rPr>
          <w:rtl w:val="1"/>
          <w:lang w:val="ar-SA" w:bidi="ar-SA"/>
        </w:rPr>
        <w:t>“</w:t>
      </w:r>
      <w:r>
        <w:rPr>
          <w:rtl w:val="0"/>
        </w:rPr>
        <w:t>A</w:t>
      </w:r>
      <w:r>
        <w:rPr>
          <w:rtl w:val="0"/>
        </w:rPr>
        <w:t xml:space="preserve">” </w:t>
      </w:r>
      <w:r>
        <w:rPr>
          <w:rtl w:val="0"/>
          <w:lang w:val="en-US"/>
        </w:rPr>
        <w:t xml:space="preserve">ratio remain the same.  The engineer can now make a good estimate of the </w:t>
      </w:r>
      <w:r>
        <w:rPr>
          <w:rtl w:val="1"/>
          <w:lang w:val="ar-SA" w:bidi="ar-SA"/>
        </w:rPr>
        <w:t>“</w:t>
      </w:r>
      <w:r>
        <w:rPr>
          <w:rtl w:val="0"/>
        </w:rPr>
        <w:t>B</w:t>
      </w:r>
      <w:r>
        <w:rPr>
          <w:rtl w:val="0"/>
        </w:rPr>
        <w:t xml:space="preserve">” </w:t>
      </w:r>
      <w:r>
        <w:rPr>
          <w:rtl w:val="0"/>
          <w:lang w:val="en-US"/>
        </w:rPr>
        <w:t xml:space="preserve">reading.  The engineer should inflate the membrane more slowly as the pressures approach predicted </w:t>
      </w:r>
      <w:r>
        <w:rPr>
          <w:rtl w:val="1"/>
          <w:lang w:val="ar-SA" w:bidi="ar-SA"/>
        </w:rPr>
        <w:t>“</w:t>
      </w:r>
      <w:r>
        <w:rPr>
          <w:rtl w:val="0"/>
        </w:rPr>
        <w:t>A</w:t>
      </w:r>
      <w:r>
        <w:rPr>
          <w:rtl w:val="0"/>
        </w:rPr>
        <w:t xml:space="preserve">” </w:t>
      </w:r>
      <w:r>
        <w:rPr>
          <w:rtl w:val="0"/>
          <w:lang w:val="en-US"/>
        </w:rPr>
        <w:t xml:space="preserve">and </w:t>
      </w:r>
      <w:r>
        <w:rPr>
          <w:rtl w:val="1"/>
          <w:lang w:val="ar-SA" w:bidi="ar-SA"/>
        </w:rPr>
        <w:t>“</w:t>
      </w:r>
      <w:r>
        <w:rPr>
          <w:rtl w:val="0"/>
        </w:rPr>
        <w:t>B</w:t>
      </w:r>
      <w:r>
        <w:rPr>
          <w:rtl w:val="0"/>
        </w:rPr>
        <w:t xml:space="preserve">” </w:t>
      </w:r>
      <w:r>
        <w:rPr>
          <w:rtl w:val="0"/>
          <w:lang w:val="en-US"/>
        </w:rPr>
        <w:t xml:space="preserve">values, measuring those values more accurately.  </w:t>
      </w:r>
    </w:p>
    <w:p>
      <w:pPr>
        <w:pStyle w:val="Body"/>
      </w:pPr>
    </w:p>
    <w:p>
      <w:pPr>
        <w:pStyle w:val="Body"/>
      </w:pPr>
      <w:r>
        <w:rPr>
          <w:rtl w:val="0"/>
          <w:lang w:val="en-US"/>
        </w:rPr>
        <w:t xml:space="preserve">The engineer should perform dilatometer tests at 20 cm depth intervals, conveniently working out to 5 tests/meter long rod.  Where thrust measures less than 500 kgf, which generally indicates a very soft soil, the engineer should reduce the test depth interval to 10 centimeters to provide more data for design in these critical soils. </w:t>
      </w:r>
    </w:p>
    <w:p>
      <w:pPr>
        <w:pStyle w:val="Body"/>
      </w:pPr>
    </w:p>
    <w:p>
      <w:pPr>
        <w:pStyle w:val="Body"/>
      </w:pPr>
      <w:r>
        <w:rPr>
          <w:rtl w:val="0"/>
          <w:lang w:val="en-US"/>
        </w:rPr>
        <w:t xml:space="preserve">                                   Figure 11: Thrust measured at surface compared favorably with downhole</w:t>
      </w:r>
    </w:p>
    <w:p>
      <w:pPr>
        <w:pStyle w:val="Body"/>
      </w:pPr>
      <w:r>
        <w:drawing xmlns:a="http://schemas.openxmlformats.org/drawingml/2006/main">
          <wp:anchor distT="57150" distB="57150" distL="57150" distR="57150" simplePos="0" relativeHeight="251680768" behindDoc="0" locked="0" layoutInCell="1" allowOverlap="1">
            <wp:simplePos x="0" y="0"/>
            <wp:positionH relativeFrom="column">
              <wp:posOffset>3419475</wp:posOffset>
            </wp:positionH>
            <wp:positionV relativeFrom="line">
              <wp:posOffset>71119</wp:posOffset>
            </wp:positionV>
            <wp:extent cx="2513239" cy="3694177"/>
            <wp:effectExtent l="0" t="0" r="0" b="0"/>
            <wp:wrapSquare wrapText="left" distL="57150" distR="57150" distT="57150" distB="57150"/>
            <wp:docPr id="1073741840" name="officeArt object" descr="Picture 17"/>
            <wp:cNvGraphicFramePr/>
            <a:graphic xmlns:a="http://schemas.openxmlformats.org/drawingml/2006/main">
              <a:graphicData uri="http://schemas.openxmlformats.org/drawingml/2006/picture">
                <pic:pic xmlns:pic="http://schemas.openxmlformats.org/drawingml/2006/picture">
                  <pic:nvPicPr>
                    <pic:cNvPr id="1073741840" name="Picture 17" descr="Picture 17"/>
                    <pic:cNvPicPr>
                      <a:picLocks noChangeAspect="1"/>
                    </pic:cNvPicPr>
                  </pic:nvPicPr>
                  <pic:blipFill>
                    <a:blip r:embed="rId19">
                      <a:extLst/>
                    </a:blip>
                    <a:stretch>
                      <a:fillRect/>
                    </a:stretch>
                  </pic:blipFill>
                  <pic:spPr>
                    <a:xfrm>
                      <a:off x="0" y="0"/>
                      <a:ext cx="2513239" cy="3694177"/>
                    </a:xfrm>
                    <a:prstGeom prst="rect">
                      <a:avLst/>
                    </a:prstGeom>
                    <a:ln w="12700" cap="flat">
                      <a:noFill/>
                      <a:miter lim="400000"/>
                    </a:ln>
                    <a:effectLst/>
                  </pic:spPr>
                </pic:pic>
              </a:graphicData>
            </a:graphic>
          </wp:anchor>
        </w:drawing>
      </w:r>
      <w:r>
        <w:rPr>
          <w:rtl w:val="0"/>
          <w:lang w:val="en-US"/>
        </w:rPr>
        <w:t>Below the groundwater table, the engineer can deflate the membrane and measure the pressure (</w:t>
      </w:r>
      <w:r>
        <w:rPr>
          <w:rtl w:val="1"/>
          <w:lang w:val="ar-SA" w:bidi="ar-SA"/>
        </w:rPr>
        <w:t>“</w:t>
      </w:r>
      <w:r>
        <w:rPr>
          <w:rtl w:val="0"/>
        </w:rPr>
        <w:t>C</w:t>
      </w:r>
      <w:r>
        <w:rPr>
          <w:rtl w:val="0"/>
        </w:rPr>
        <w:t xml:space="preserve">” </w:t>
      </w:r>
      <w:r>
        <w:rPr>
          <w:rtl w:val="0"/>
          <w:lang w:val="en-US"/>
        </w:rPr>
        <w:t xml:space="preserve">reading) where the deflated membrane recontacts the blade.  Below the groundwater table, the </w:t>
      </w:r>
      <w:r>
        <w:rPr>
          <w:rtl w:val="1"/>
          <w:lang w:val="ar-SA" w:bidi="ar-SA"/>
        </w:rPr>
        <w:t>“</w:t>
      </w:r>
      <w:r>
        <w:rPr>
          <w:rtl w:val="0"/>
        </w:rPr>
        <w:t>C</w:t>
      </w:r>
      <w:r>
        <w:rPr>
          <w:rtl w:val="0"/>
        </w:rPr>
        <w:t xml:space="preserve">” </w:t>
      </w:r>
      <w:r>
        <w:rPr>
          <w:rtl w:val="0"/>
          <w:lang w:val="en-US"/>
        </w:rPr>
        <w:t xml:space="preserve">reading measures the hydrostatic groundwater pressure in a cohesionless soil or excess pore water pressures in a cohesive soil (Figure 12, Schmertmann and Crapps, 1988).  In cohesive soil, if the engineer measures either  </w:t>
      </w:r>
      <w:r>
        <w:rPr>
          <w:rtl w:val="1"/>
          <w:lang w:val="ar-SA" w:bidi="ar-SA"/>
        </w:rPr>
        <w:t>“</w:t>
      </w:r>
      <w:r>
        <w:rPr>
          <w:rtl w:val="0"/>
        </w:rPr>
        <w:t>A</w:t>
      </w:r>
      <w:r>
        <w:rPr>
          <w:rtl w:val="0"/>
        </w:rPr>
        <w:t xml:space="preserve">” </w:t>
      </w:r>
      <w:r>
        <w:rPr>
          <w:rtl w:val="0"/>
        </w:rPr>
        <w:t xml:space="preserve">or  </w:t>
      </w:r>
      <w:r>
        <w:rPr>
          <w:rtl w:val="1"/>
          <w:lang w:val="ar-SA" w:bidi="ar-SA"/>
        </w:rPr>
        <w:t>“</w:t>
      </w:r>
      <w:r>
        <w:rPr>
          <w:rtl w:val="0"/>
        </w:rPr>
        <w:t>C</w:t>
      </w:r>
      <w:r>
        <w:rPr>
          <w:rtl w:val="0"/>
        </w:rPr>
        <w:t xml:space="preserve">” </w:t>
      </w:r>
      <w:r>
        <w:rPr>
          <w:rtl w:val="0"/>
          <w:lang w:val="en-US"/>
        </w:rPr>
        <w:t>readings versus elapsed time, he/she can compute the time rate of consolidation as the pore pressures dissipate.  Figure 13 shows the dilatometer test sequence.</w:t>
      </w: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r>
        <w:rPr>
          <w:rFonts w:ascii="Calibri" w:hAnsi="Calibri"/>
          <w:sz w:val="24"/>
          <w:szCs w:val="24"/>
          <w:rtl w:val="0"/>
          <w:lang w:val="it-IT"/>
        </w:rPr>
        <w:t>Figure 12: P</w:t>
      </w:r>
      <w:r>
        <w:rPr>
          <w:rFonts w:ascii="Calibri" w:hAnsi="Calibri"/>
          <w:sz w:val="24"/>
          <w:szCs w:val="24"/>
          <w:vertAlign w:val="subscript"/>
          <w:rtl w:val="0"/>
        </w:rPr>
        <w:t>2</w:t>
      </w:r>
      <w:r>
        <w:rPr>
          <w:rFonts w:ascii="Calibri" w:hAnsi="Calibri"/>
          <w:sz w:val="24"/>
          <w:szCs w:val="24"/>
          <w:rtl w:val="0"/>
          <w:lang w:val="en-US"/>
        </w:rPr>
        <w:t xml:space="preserve"> pore water pressure measurements versus depth</w:t>
      </w: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p>
    <w:p>
      <w:pPr>
        <w:pStyle w:val="Body"/>
        <w:rPr>
          <w:b w:val="1"/>
          <w:bCs w:val="1"/>
          <w:sz w:val="28"/>
          <w:szCs w:val="28"/>
        </w:rPr>
      </w:pPr>
      <w:r>
        <w:drawing xmlns:a="http://schemas.openxmlformats.org/drawingml/2006/main">
          <wp:anchor distT="57150" distB="57150" distL="57150" distR="57150" simplePos="0" relativeHeight="251681792" behindDoc="0" locked="0" layoutInCell="1" allowOverlap="1">
            <wp:simplePos x="0" y="0"/>
            <wp:positionH relativeFrom="page">
              <wp:posOffset>914400</wp:posOffset>
            </wp:positionH>
            <wp:positionV relativeFrom="line">
              <wp:posOffset>280669</wp:posOffset>
            </wp:positionV>
            <wp:extent cx="5824220" cy="4028914"/>
            <wp:effectExtent l="0" t="0" r="0" b="0"/>
            <wp:wrapSquare wrapText="left" distL="57150" distR="57150" distT="57150" distB="57150"/>
            <wp:docPr id="1073741841" name="officeArt object" descr="Picture 210"/>
            <wp:cNvGraphicFramePr/>
            <a:graphic xmlns:a="http://schemas.openxmlformats.org/drawingml/2006/main">
              <a:graphicData uri="http://schemas.openxmlformats.org/drawingml/2006/picture">
                <pic:pic xmlns:pic="http://schemas.openxmlformats.org/drawingml/2006/picture">
                  <pic:nvPicPr>
                    <pic:cNvPr id="1073741841" name="Picture 210" descr="Picture 210"/>
                    <pic:cNvPicPr>
                      <a:picLocks noChangeAspect="1"/>
                    </pic:cNvPicPr>
                  </pic:nvPicPr>
                  <pic:blipFill>
                    <a:blip r:embed="rId20">
                      <a:extLst/>
                    </a:blip>
                    <a:stretch>
                      <a:fillRect/>
                    </a:stretch>
                  </pic:blipFill>
                  <pic:spPr>
                    <a:xfrm>
                      <a:off x="0" y="0"/>
                      <a:ext cx="5824220" cy="4028914"/>
                    </a:xfrm>
                    <a:prstGeom prst="rect">
                      <a:avLst/>
                    </a:prstGeom>
                    <a:ln w="12700" cap="flat">
                      <a:noFill/>
                      <a:miter lim="400000"/>
                    </a:ln>
                    <a:effectLst/>
                  </pic:spPr>
                </pic:pic>
              </a:graphicData>
            </a:graphic>
          </wp:anchor>
        </w:drawing>
      </w:r>
    </w:p>
    <w:p>
      <w:pPr>
        <w:pStyle w:val="ISC6_body"/>
        <w:ind w:firstLine="0"/>
        <w:rPr>
          <w:rFonts w:ascii="Calibri" w:cs="Calibri" w:hAnsi="Calibri" w:eastAsia="Calibri"/>
          <w:sz w:val="24"/>
          <w:szCs w:val="24"/>
        </w:rPr>
      </w:pPr>
      <w:r>
        <w:rPr>
          <w:rFonts w:ascii="Calibri" w:hAnsi="Calibri"/>
          <w:sz w:val="24"/>
          <w:szCs w:val="24"/>
          <w:rtl w:val="0"/>
          <w:lang w:val="en-US"/>
        </w:rPr>
        <w:t>Figure 13: Dilatometer test sequence</w:t>
      </w:r>
    </w:p>
    <w:p>
      <w:pPr>
        <w:pStyle w:val="ISC6_body"/>
        <w:ind w:firstLine="0"/>
        <w:rPr>
          <w:rFonts w:ascii="Calibri" w:cs="Calibri" w:hAnsi="Calibri" w:eastAsia="Calibri"/>
          <w:sz w:val="28"/>
          <w:szCs w:val="28"/>
        </w:rPr>
      </w:pPr>
      <w:r>
        <w:rPr>
          <w:rFonts w:ascii="Calibri" w:hAnsi="Calibri"/>
          <w:b w:val="1"/>
          <w:bCs w:val="1"/>
          <w:sz w:val="28"/>
          <w:szCs w:val="28"/>
          <w:rtl w:val="0"/>
          <w:lang w:val="en-US"/>
        </w:rPr>
        <w:t>Pore Pressure Dissipation Tests:</w:t>
      </w:r>
      <w:r>
        <w:rPr>
          <w:rFonts w:ascii="Calibri" w:hAnsi="Calibri"/>
          <w:sz w:val="28"/>
          <w:szCs w:val="28"/>
          <w:rtl w:val="0"/>
        </w:rPr>
        <w:t xml:space="preserve"> </w:t>
      </w: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r>
        <w:rPr>
          <w:rFonts w:ascii="Calibri" w:hAnsi="Calibri"/>
          <w:sz w:val="24"/>
          <w:szCs w:val="24"/>
          <w:rtl w:val="0"/>
          <w:lang w:val="en-US"/>
        </w:rPr>
        <w:t>As the dilatometer blade pushes into the soil, it displaces the soil and pore water.  In cohesive soil, pore pressures build up because the water cannot travel away from the displaced zone quickly enough.  But as it travels away, the pressure decreases.  The engineer can measure the pore pressure dissipation or decay over time either 1) by creating a cavity from a dilatometer test and monitoring the decease in pressure versus elapsed time or 2) repeatly inflating the membrane at the lift-off position (A reading).</w:t>
      </w:r>
    </w:p>
    <w:p>
      <w:pPr>
        <w:pStyle w:val="ISC6_body"/>
        <w:ind w:firstLine="0"/>
        <w:rPr>
          <w:rFonts w:ascii="Calibri" w:cs="Calibri" w:hAnsi="Calibri" w:eastAsia="Calibri"/>
          <w:sz w:val="24"/>
          <w:szCs w:val="24"/>
        </w:rPr>
      </w:pPr>
      <w:r>
        <w:rPr>
          <w:rFonts w:ascii="Calibri" w:cs="Calibri" w:hAnsi="Calibri" w:eastAsia="Calibri"/>
          <w:b w:val="1"/>
          <w:bCs w:val="1"/>
          <w:sz w:val="28"/>
          <w:szCs w:val="28"/>
        </w:rPr>
        <w:drawing xmlns:a="http://schemas.openxmlformats.org/drawingml/2006/main">
          <wp:anchor distT="57150" distB="57150" distL="57150" distR="57150" simplePos="0" relativeHeight="251667456" behindDoc="0" locked="0" layoutInCell="1" allowOverlap="1">
            <wp:simplePos x="0" y="0"/>
            <wp:positionH relativeFrom="column">
              <wp:posOffset>1886585</wp:posOffset>
            </wp:positionH>
            <wp:positionV relativeFrom="line">
              <wp:posOffset>45719</wp:posOffset>
            </wp:positionV>
            <wp:extent cx="4092575" cy="5572125"/>
            <wp:effectExtent l="0" t="0" r="0" b="0"/>
            <wp:wrapSquare wrapText="bothSides" distL="57150" distR="57150" distT="57150" distB="57150"/>
            <wp:docPr id="1073741842" name="officeArt object" descr="Picture 54"/>
            <wp:cNvGraphicFramePr/>
            <a:graphic xmlns:a="http://schemas.openxmlformats.org/drawingml/2006/main">
              <a:graphicData uri="http://schemas.openxmlformats.org/drawingml/2006/picture">
                <pic:pic xmlns:pic="http://schemas.openxmlformats.org/drawingml/2006/picture">
                  <pic:nvPicPr>
                    <pic:cNvPr id="1073741842" name="Picture 54" descr="Picture 54"/>
                    <pic:cNvPicPr>
                      <a:picLocks noChangeAspect="1"/>
                    </pic:cNvPicPr>
                  </pic:nvPicPr>
                  <pic:blipFill>
                    <a:blip r:embed="rId21">
                      <a:extLst/>
                    </a:blip>
                    <a:stretch>
                      <a:fillRect/>
                    </a:stretch>
                  </pic:blipFill>
                  <pic:spPr>
                    <a:xfrm>
                      <a:off x="0" y="0"/>
                      <a:ext cx="4092575" cy="5572125"/>
                    </a:xfrm>
                    <a:prstGeom prst="rect">
                      <a:avLst/>
                    </a:prstGeom>
                    <a:ln w="12700" cap="flat">
                      <a:noFill/>
                      <a:miter lim="400000"/>
                    </a:ln>
                    <a:effectLst/>
                  </pic:spPr>
                </pic:pic>
              </a:graphicData>
            </a:graphic>
          </wp:anchor>
        </w:drawing>
      </w:r>
    </w:p>
    <w:p>
      <w:pPr>
        <w:pStyle w:val="ISC6_body"/>
        <w:ind w:firstLine="0"/>
        <w:rPr>
          <w:rFonts w:ascii="Calibri" w:cs="Calibri" w:hAnsi="Calibri" w:eastAsia="Calibri"/>
          <w:sz w:val="24"/>
          <w:szCs w:val="24"/>
        </w:rPr>
      </w:pPr>
      <w:r>
        <w:rPr>
          <w:rFonts w:ascii="Calibri" w:hAnsi="Calibri"/>
          <w:sz w:val="24"/>
          <w:szCs w:val="24"/>
          <w:rtl w:val="0"/>
          <w:lang w:val="en-US"/>
        </w:rPr>
        <w:t>The membrane expands to 1.1 mm to obtain the fully-expanded or B reading. When it is deflated, a cavity filled with pressurized water forms.  The engineer can measure the water pressure decay by either moving the membrane from slightly expanded to closed position (</w:t>
      </w:r>
      <w:r>
        <w:rPr>
          <w:rFonts w:ascii="Calibri" w:hAnsi="Calibri" w:hint="default"/>
          <w:sz w:val="24"/>
          <w:szCs w:val="24"/>
          <w:rtl w:val="1"/>
          <w:lang w:val="ar-SA" w:bidi="ar-SA"/>
        </w:rPr>
        <w:t>“</w:t>
      </w:r>
      <w:r>
        <w:rPr>
          <w:rFonts w:ascii="Calibri" w:hAnsi="Calibri"/>
          <w:sz w:val="24"/>
          <w:szCs w:val="24"/>
          <w:rtl w:val="0"/>
        </w:rPr>
        <w:t>C</w:t>
      </w:r>
      <w:r>
        <w:rPr>
          <w:rFonts w:ascii="Calibri" w:hAnsi="Calibri" w:hint="default"/>
          <w:sz w:val="24"/>
          <w:szCs w:val="24"/>
          <w:rtl w:val="0"/>
          <w:lang w:val="de-DE"/>
        </w:rPr>
        <w:t xml:space="preserve">“ </w:t>
      </w:r>
      <w:r>
        <w:rPr>
          <w:rFonts w:ascii="Calibri" w:hAnsi="Calibri"/>
          <w:sz w:val="24"/>
          <w:szCs w:val="24"/>
          <w:rtl w:val="0"/>
          <w:lang w:val="en-US"/>
        </w:rPr>
        <w:t>dissipation test) or moving the membrane from the closed position to the lift-off position (</w:t>
      </w:r>
      <w:r>
        <w:rPr>
          <w:rFonts w:ascii="Calibri" w:hAnsi="Calibri" w:hint="default"/>
          <w:sz w:val="24"/>
          <w:szCs w:val="24"/>
          <w:rtl w:val="1"/>
          <w:lang w:val="ar-SA" w:bidi="ar-SA"/>
        </w:rPr>
        <w:t>“</w:t>
      </w:r>
      <w:r>
        <w:rPr>
          <w:rFonts w:ascii="Calibri" w:hAnsi="Calibri"/>
          <w:sz w:val="24"/>
          <w:szCs w:val="24"/>
          <w:rtl w:val="0"/>
        </w:rPr>
        <w:t>A2</w:t>
      </w:r>
      <w:r>
        <w:rPr>
          <w:rFonts w:ascii="Calibri" w:hAnsi="Calibri" w:hint="default"/>
          <w:sz w:val="24"/>
          <w:szCs w:val="24"/>
          <w:rtl w:val="0"/>
          <w:lang w:val="de-DE"/>
        </w:rPr>
        <w:t xml:space="preserve">“ </w:t>
      </w:r>
      <w:r>
        <w:rPr>
          <w:rFonts w:ascii="Calibri" w:hAnsi="Calibri"/>
          <w:sz w:val="24"/>
          <w:szCs w:val="24"/>
          <w:rtl w:val="0"/>
          <w:lang w:val="en-US"/>
        </w:rPr>
        <w:t xml:space="preserve">dissipation test).  The elapsed time clock starts the instant that the dilatometer blade reaches the test depth.  Eventually the cavity collapses from the cohesive soil swelling.  The engineer  ends the test when the pressure measurements increase. Figure 14 presents an example of a </w:t>
      </w:r>
      <w:r>
        <w:rPr>
          <w:rFonts w:ascii="Calibri" w:hAnsi="Calibri" w:hint="default"/>
          <w:sz w:val="24"/>
          <w:szCs w:val="24"/>
          <w:rtl w:val="1"/>
          <w:lang w:val="ar-SA" w:bidi="ar-SA"/>
        </w:rPr>
        <w:t>“</w:t>
      </w:r>
      <w:r>
        <w:rPr>
          <w:rFonts w:ascii="Calibri" w:hAnsi="Calibri"/>
          <w:sz w:val="24"/>
          <w:szCs w:val="24"/>
          <w:rtl w:val="0"/>
        </w:rPr>
        <w:t>C</w:t>
      </w:r>
      <w:r>
        <w:rPr>
          <w:rFonts w:ascii="Calibri" w:hAnsi="Calibri" w:hint="default"/>
          <w:sz w:val="24"/>
          <w:szCs w:val="24"/>
          <w:rtl w:val="0"/>
          <w:lang w:val="de-DE"/>
        </w:rPr>
        <w:t xml:space="preserve">“ </w:t>
      </w:r>
      <w:r>
        <w:rPr>
          <w:rFonts w:ascii="Calibri" w:hAnsi="Calibri"/>
          <w:sz w:val="24"/>
          <w:szCs w:val="24"/>
          <w:rtl w:val="0"/>
          <w:lang w:val="en-US"/>
        </w:rPr>
        <w:t>dissipation test and the calculations for the time rate of consolidation and coefficient of permeability.</w:t>
      </w:r>
    </w:p>
    <w:p>
      <w:pPr>
        <w:pStyle w:val="ISC6_body"/>
        <w:ind w:firstLine="0"/>
        <w:rPr>
          <w:rFonts w:ascii="Calibri" w:cs="Calibri" w:hAnsi="Calibri" w:eastAsia="Calibri"/>
          <w:sz w:val="24"/>
          <w:szCs w:val="24"/>
        </w:rPr>
      </w:pPr>
    </w:p>
    <w:p>
      <w:pPr>
        <w:pStyle w:val="ISC6_body"/>
        <w:ind w:left="2160" w:firstLine="720"/>
        <w:rPr>
          <w:rFonts w:ascii="Calibri" w:cs="Calibri" w:hAnsi="Calibri" w:eastAsia="Calibri"/>
          <w:sz w:val="24"/>
          <w:szCs w:val="24"/>
        </w:rPr>
      </w:pPr>
      <w:r>
        <w:rPr>
          <w:rFonts w:ascii="Calibri" w:hAnsi="Calibri"/>
          <w:sz w:val="24"/>
          <w:szCs w:val="24"/>
          <w:rtl w:val="0"/>
          <w:lang w:val="en-US"/>
        </w:rPr>
        <w:t xml:space="preserve">Figure 14: Example of </w:t>
      </w:r>
      <w:r>
        <w:rPr>
          <w:rFonts w:ascii="Calibri" w:hAnsi="Calibri" w:hint="default"/>
          <w:sz w:val="24"/>
          <w:szCs w:val="24"/>
          <w:rtl w:val="1"/>
          <w:lang w:val="ar-SA" w:bidi="ar-SA"/>
        </w:rPr>
        <w:t>“</w:t>
      </w:r>
      <w:r>
        <w:rPr>
          <w:rFonts w:ascii="Calibri" w:hAnsi="Calibri"/>
          <w:sz w:val="24"/>
          <w:szCs w:val="24"/>
          <w:rtl w:val="0"/>
        </w:rPr>
        <w:t>C</w:t>
      </w:r>
      <w:r>
        <w:rPr>
          <w:rFonts w:ascii="Calibri" w:hAnsi="Calibri" w:hint="default"/>
          <w:sz w:val="24"/>
          <w:szCs w:val="24"/>
          <w:rtl w:val="0"/>
          <w:lang w:val="de-DE"/>
        </w:rPr>
        <w:t xml:space="preserve">“ </w:t>
      </w:r>
      <w:r>
        <w:rPr>
          <w:rFonts w:ascii="Calibri" w:hAnsi="Calibri"/>
          <w:sz w:val="24"/>
          <w:szCs w:val="24"/>
          <w:rtl w:val="0"/>
          <w:lang w:val="en-US"/>
        </w:rPr>
        <w:t>Reading Pore Pressure Dissipation Test</w:t>
      </w: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r>
        <w:rPr>
          <w:rFonts w:ascii="Calibri" w:hAnsi="Calibri"/>
          <w:sz w:val="24"/>
          <w:szCs w:val="24"/>
          <w:rtl w:val="0"/>
          <w:lang w:val="en-US"/>
        </w:rPr>
        <w:t>After pushing the dilatometer blade to the test depth, the engineer can repeatedly make the lift-off or A reading.  Both the soil and excess pore water apply the resisting pressure.  By plotting these measurements versus log of elapsed time, the engineer can find the flexure point on the curve, T</w:t>
      </w:r>
      <w:r>
        <w:rPr>
          <w:rFonts w:ascii="Calibri" w:hAnsi="Calibri"/>
          <w:sz w:val="24"/>
          <w:szCs w:val="24"/>
          <w:vertAlign w:val="subscript"/>
          <w:rtl w:val="0"/>
          <w:lang w:val="fr-FR"/>
        </w:rPr>
        <w:t>flex</w:t>
      </w:r>
      <w:r>
        <w:rPr>
          <w:rFonts w:ascii="Calibri" w:hAnsi="Calibri"/>
          <w:sz w:val="24"/>
          <w:szCs w:val="24"/>
          <w:rtl w:val="0"/>
          <w:lang w:val="en-US"/>
        </w:rPr>
        <w:t xml:space="preserve">.  The automated Medusa dilatometer system collects the </w:t>
      </w:r>
      <w:r>
        <w:rPr>
          <w:rFonts w:ascii="Calibri" w:hAnsi="Calibri" w:hint="default"/>
          <w:sz w:val="24"/>
          <w:szCs w:val="24"/>
          <w:rtl w:val="1"/>
          <w:lang w:val="ar-SA" w:bidi="ar-SA"/>
        </w:rPr>
        <w:t>“</w:t>
      </w:r>
      <w:r>
        <w:rPr>
          <w:rFonts w:ascii="Calibri" w:hAnsi="Calibri"/>
          <w:sz w:val="24"/>
          <w:szCs w:val="24"/>
          <w:rtl w:val="0"/>
        </w:rPr>
        <w:t>A</w:t>
      </w:r>
      <w:r>
        <w:rPr>
          <w:rFonts w:ascii="Calibri" w:hAnsi="Calibri" w:hint="default"/>
          <w:sz w:val="24"/>
          <w:szCs w:val="24"/>
          <w:rtl w:val="0"/>
          <w:lang w:val="de-DE"/>
        </w:rPr>
        <w:t xml:space="preserve">“ </w:t>
      </w:r>
      <w:r>
        <w:rPr>
          <w:rFonts w:ascii="Calibri" w:hAnsi="Calibri"/>
          <w:sz w:val="24"/>
          <w:szCs w:val="24"/>
          <w:rtl w:val="0"/>
          <w:lang w:val="en-US"/>
        </w:rPr>
        <w:t xml:space="preserve">measurements frequently and accurately to give the engineer high quality curves (Figure 15).  </w:t>
      </w:r>
      <w:r>
        <w:rPr>
          <w:rFonts w:ascii="Calibri" w:hAnsi="Calibri"/>
          <w:outline w:val="0"/>
          <w:color w:val="0000ff"/>
          <w:sz w:val="24"/>
          <w:szCs w:val="24"/>
          <w:u w:color="0000ff"/>
          <w:rtl w:val="0"/>
          <w14:textFill>
            <w14:solidFill>
              <w14:srgbClr w14:val="0000FF"/>
            </w14:solidFill>
          </w14:textFill>
        </w:rPr>
        <w:t>Totani (1998)</w:t>
      </w:r>
      <w:r>
        <w:rPr>
          <w:rFonts w:ascii="Calibri" w:hAnsi="Calibri"/>
          <w:sz w:val="24"/>
          <w:szCs w:val="24"/>
          <w:rtl w:val="0"/>
          <w:lang w:val="en-US"/>
        </w:rPr>
        <w:t xml:space="preserve"> calculates the time rate of consoldiation and coefficient of permeability using the below formulas:</w:t>
      </w: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r>
        <w:rPr>
          <w:rFonts w:ascii="Calibri" w:cs="Calibri" w:hAnsi="Calibri" w:eastAsia="Calibri"/>
          <w:sz w:val="24"/>
          <w:szCs w:val="24"/>
          <w:rtl w:val="0"/>
        </w:rPr>
        <w:tab/>
        <w:t>c</w:t>
      </w:r>
      <w:r>
        <w:rPr>
          <w:rFonts w:ascii="Calibri" w:hAnsi="Calibri"/>
          <w:sz w:val="24"/>
          <w:szCs w:val="24"/>
          <w:vertAlign w:val="subscript"/>
          <w:rtl w:val="0"/>
        </w:rPr>
        <w:t>h</w:t>
      </w:r>
      <w:r>
        <w:rPr>
          <w:rFonts w:ascii="Calibri" w:hAnsi="Calibri"/>
          <w:sz w:val="24"/>
          <w:szCs w:val="24"/>
          <w:rtl w:val="0"/>
        </w:rPr>
        <w:t xml:space="preserve"> = 7 cm</w:t>
      </w:r>
      <w:r>
        <w:rPr>
          <w:rFonts w:ascii="Calibri" w:hAnsi="Calibri"/>
          <w:sz w:val="24"/>
          <w:szCs w:val="24"/>
          <w:vertAlign w:val="superscript"/>
          <w:rtl w:val="0"/>
        </w:rPr>
        <w:t>2</w:t>
      </w:r>
      <w:r>
        <w:rPr>
          <w:rFonts w:ascii="Calibri" w:hAnsi="Calibri"/>
          <w:sz w:val="24"/>
          <w:szCs w:val="24"/>
          <w:rtl w:val="0"/>
        </w:rPr>
        <w:t>/T</w:t>
      </w:r>
      <w:r>
        <w:rPr>
          <w:rFonts w:ascii="Calibri" w:hAnsi="Calibri"/>
          <w:sz w:val="24"/>
          <w:szCs w:val="24"/>
          <w:vertAlign w:val="subscript"/>
          <w:rtl w:val="0"/>
          <w:lang w:val="fr-FR"/>
        </w:rPr>
        <w:t>flex</w:t>
      </w:r>
    </w:p>
    <w:p>
      <w:pPr>
        <w:pStyle w:val="ISC6_body"/>
        <w:ind w:firstLine="0"/>
        <w:rPr>
          <w:rFonts w:ascii="Calibri" w:cs="Calibri" w:hAnsi="Calibri" w:eastAsia="Calibri"/>
          <w:sz w:val="24"/>
          <w:szCs w:val="24"/>
        </w:rPr>
      </w:pPr>
      <w:r>
        <w:rPr>
          <w:rFonts w:ascii="Calibri" w:cs="Calibri" w:hAnsi="Calibri" w:eastAsia="Calibri"/>
          <w:sz w:val="24"/>
          <w:szCs w:val="24"/>
          <w:rtl w:val="0"/>
        </w:rPr>
        <w:tab/>
        <w:t>k</w:t>
      </w:r>
      <w:r>
        <w:rPr>
          <w:rFonts w:ascii="Calibri" w:hAnsi="Calibri"/>
          <w:sz w:val="24"/>
          <w:szCs w:val="24"/>
          <w:vertAlign w:val="subscript"/>
          <w:rtl w:val="0"/>
        </w:rPr>
        <w:t>h</w:t>
      </w:r>
      <w:r>
        <w:rPr>
          <w:rFonts w:ascii="Calibri" w:hAnsi="Calibri"/>
          <w:sz w:val="24"/>
          <w:szCs w:val="24"/>
          <w:rtl w:val="0"/>
          <w:lang w:val="it-IT"/>
        </w:rPr>
        <w:t xml:space="preserve"> = (c</w:t>
      </w:r>
      <w:r>
        <w:rPr>
          <w:rFonts w:ascii="Calibri" w:hAnsi="Calibri"/>
          <w:sz w:val="24"/>
          <w:szCs w:val="24"/>
          <w:vertAlign w:val="subscript"/>
          <w:rtl w:val="0"/>
        </w:rPr>
        <w:t>h</w:t>
      </w:r>
      <w:r>
        <w:rPr>
          <w:rFonts w:ascii="Calibri" w:hAnsi="Calibri"/>
          <w:sz w:val="24"/>
          <w:szCs w:val="24"/>
          <w:rtl w:val="0"/>
        </w:rPr>
        <w:t xml:space="preserve"> *</w:t>
      </w:r>
      <w:r>
        <w:rPr>
          <w:rFonts w:ascii="Symbol" w:hAnsi="Symbol" w:hint="default"/>
          <w:sz w:val="24"/>
          <w:szCs w:val="24"/>
          <w:rtl w:val="0"/>
        </w:rPr>
        <w:t>g</w:t>
      </w:r>
      <w:r>
        <w:rPr>
          <w:rFonts w:ascii="Calibri" w:hAnsi="Calibri"/>
          <w:sz w:val="24"/>
          <w:szCs w:val="24"/>
          <w:vertAlign w:val="subscript"/>
          <w:rtl w:val="0"/>
        </w:rPr>
        <w:t>w</w:t>
      </w:r>
      <w:r>
        <w:rPr>
          <w:rFonts w:ascii="Calibri" w:hAnsi="Calibri"/>
          <w:sz w:val="24"/>
          <w:szCs w:val="24"/>
          <w:rtl w:val="0"/>
          <w:lang w:val="de-DE"/>
        </w:rPr>
        <w:t>)/M</w:t>
      </w: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r>
        <w:rPr>
          <w:rFonts w:ascii="Calibri" w:cs="Calibri" w:hAnsi="Calibri" w:eastAsia="Calibri"/>
          <w:sz w:val="24"/>
          <w:szCs w:val="24"/>
        </w:rPr>
        <w:drawing xmlns:a="http://schemas.openxmlformats.org/drawingml/2006/main">
          <wp:inline distT="0" distB="0" distL="0" distR="0">
            <wp:extent cx="5943600" cy="4370071"/>
            <wp:effectExtent l="0" t="0" r="0" b="0"/>
            <wp:docPr id="1073741843" name="officeArt object" descr="Picture 212"/>
            <wp:cNvGraphicFramePr/>
            <a:graphic xmlns:a="http://schemas.openxmlformats.org/drawingml/2006/main">
              <a:graphicData uri="http://schemas.openxmlformats.org/drawingml/2006/picture">
                <pic:pic xmlns:pic="http://schemas.openxmlformats.org/drawingml/2006/picture">
                  <pic:nvPicPr>
                    <pic:cNvPr id="1073741843" name="Picture 212" descr="Picture 212"/>
                    <pic:cNvPicPr>
                      <a:picLocks noChangeAspect="1"/>
                    </pic:cNvPicPr>
                  </pic:nvPicPr>
                  <pic:blipFill>
                    <a:blip r:embed="rId22">
                      <a:extLst/>
                    </a:blip>
                    <a:stretch>
                      <a:fillRect/>
                    </a:stretch>
                  </pic:blipFill>
                  <pic:spPr>
                    <a:xfrm>
                      <a:off x="0" y="0"/>
                      <a:ext cx="5943600" cy="4370071"/>
                    </a:xfrm>
                    <a:prstGeom prst="rect">
                      <a:avLst/>
                    </a:prstGeom>
                    <a:ln w="12700" cap="flat">
                      <a:noFill/>
                      <a:miter lim="400000"/>
                    </a:ln>
                    <a:effectLst/>
                  </pic:spPr>
                </pic:pic>
              </a:graphicData>
            </a:graphic>
          </wp:inline>
        </w:drawing>
      </w:r>
    </w:p>
    <w:p>
      <w:pPr>
        <w:pStyle w:val="ISC6_body"/>
        <w:ind w:firstLine="0"/>
        <w:rPr>
          <w:rFonts w:ascii="Calibri" w:cs="Calibri" w:hAnsi="Calibri" w:eastAsia="Calibri"/>
          <w:sz w:val="24"/>
          <w:szCs w:val="24"/>
        </w:rPr>
      </w:pPr>
      <w:r>
        <w:rPr>
          <w:rFonts w:ascii="Calibri" w:hAnsi="Calibri"/>
          <w:sz w:val="24"/>
          <w:szCs w:val="24"/>
          <w:rtl w:val="0"/>
          <w:lang w:val="it-IT"/>
        </w:rPr>
        <w:t xml:space="preserve">Figure 15: </w:t>
      </w:r>
      <w:r>
        <w:rPr>
          <w:rFonts w:ascii="Calibri" w:hAnsi="Calibri" w:hint="default"/>
          <w:sz w:val="24"/>
          <w:szCs w:val="24"/>
          <w:rtl w:val="1"/>
          <w:lang w:val="ar-SA" w:bidi="ar-SA"/>
        </w:rPr>
        <w:t>“</w:t>
      </w:r>
      <w:r>
        <w:rPr>
          <w:rFonts w:ascii="Calibri" w:hAnsi="Calibri"/>
          <w:sz w:val="24"/>
          <w:szCs w:val="24"/>
          <w:rtl w:val="0"/>
        </w:rPr>
        <w:t>A</w:t>
      </w:r>
      <w:r>
        <w:rPr>
          <w:rFonts w:ascii="Calibri" w:hAnsi="Calibri" w:hint="default"/>
          <w:sz w:val="24"/>
          <w:szCs w:val="24"/>
          <w:rtl w:val="0"/>
          <w:lang w:val="de-DE"/>
        </w:rPr>
        <w:t xml:space="preserve">“ </w:t>
      </w:r>
      <w:r>
        <w:rPr>
          <w:rFonts w:ascii="Calibri" w:hAnsi="Calibri"/>
          <w:sz w:val="24"/>
          <w:szCs w:val="24"/>
          <w:rtl w:val="0"/>
          <w:lang w:val="en-US"/>
        </w:rPr>
        <w:t>Dissipation Test made with Medusa Dilatometer System</w:t>
      </w: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r>
        <w:rPr>
          <w:rFonts w:ascii="Calibri" w:hAnsi="Calibri"/>
          <w:sz w:val="24"/>
          <w:szCs w:val="24"/>
          <w:rtl w:val="0"/>
          <w:lang w:val="en-US"/>
        </w:rPr>
        <w:t>After completing the dilatometer test sounding, the engineer extracts the rods and dilatometer blade from the ground, inspects the dilatometer blade, calibrates the dilatometer membrane, and can now continue to the next dilatometer test sounding.</w:t>
      </w:r>
    </w:p>
    <w:p>
      <w:pPr>
        <w:pStyle w:val="Body"/>
      </w:pPr>
      <w:r>
        <w:rPr>
          <w:rFonts w:ascii="Arial Unicode MS" w:cs="Arial Unicode MS" w:hAnsi="Arial Unicode MS" w:eastAsia="Arial Unicode MS"/>
          <w:b w:val="0"/>
          <w:bCs w:val="0"/>
          <w:i w:val="0"/>
          <w:iCs w:val="0"/>
        </w:rPr>
        <w:br w:type="page"/>
      </w:r>
    </w:p>
    <w:p>
      <w:pPr>
        <w:pStyle w:val="ISC6_body"/>
        <w:ind w:firstLine="0"/>
        <w:rPr>
          <w:rFonts w:ascii="Calibri" w:cs="Calibri" w:hAnsi="Calibri" w:eastAsia="Calibri"/>
          <w:b w:val="1"/>
          <w:bCs w:val="1"/>
          <w:sz w:val="28"/>
          <w:szCs w:val="28"/>
        </w:rPr>
      </w:pPr>
      <w:r>
        <w:rPr>
          <w:rFonts w:ascii="Calibri" w:hAnsi="Calibri"/>
          <w:b w:val="1"/>
          <w:bCs w:val="1"/>
          <w:sz w:val="28"/>
          <w:szCs w:val="28"/>
          <w:rtl w:val="0"/>
          <w:lang w:val="en-US"/>
        </w:rPr>
        <w:t xml:space="preserve">Data Reduction: </w:t>
      </w:r>
    </w:p>
    <w:p>
      <w:pPr>
        <w:pStyle w:val="ISC6_body"/>
        <w:ind w:firstLine="0"/>
        <w:rPr>
          <w:rFonts w:ascii="Calibri" w:cs="Calibri" w:hAnsi="Calibri" w:eastAsia="Calibri"/>
          <w:sz w:val="24"/>
          <w:szCs w:val="24"/>
        </w:rPr>
      </w:pPr>
    </w:p>
    <w:p>
      <w:pPr>
        <w:pStyle w:val="ISC6_body"/>
        <w:ind w:firstLine="0"/>
        <w:rPr>
          <w:rFonts w:ascii="Calibri" w:cs="Calibri" w:hAnsi="Calibri" w:eastAsia="Calibri"/>
          <w:sz w:val="24"/>
          <w:szCs w:val="24"/>
        </w:rPr>
      </w:pPr>
      <w:r>
        <w:rPr>
          <w:rFonts w:ascii="Calibri" w:hAnsi="Calibri"/>
          <w:sz w:val="24"/>
          <w:szCs w:val="24"/>
          <w:rtl w:val="0"/>
          <w:lang w:val="en-US"/>
        </w:rPr>
        <w:t xml:space="preserve">The engineer corrects dilatometer </w:t>
      </w:r>
      <w:r>
        <w:rPr>
          <w:rFonts w:ascii="Calibri" w:hAnsi="Calibri" w:hint="default"/>
          <w:sz w:val="24"/>
          <w:szCs w:val="24"/>
          <w:rtl w:val="1"/>
          <w:lang w:val="ar-SA" w:bidi="ar-SA"/>
        </w:rPr>
        <w:t>“</w:t>
      </w:r>
      <w:r>
        <w:rPr>
          <w:rFonts w:ascii="Calibri" w:hAnsi="Calibri"/>
          <w:sz w:val="24"/>
          <w:szCs w:val="24"/>
          <w:rtl w:val="0"/>
        </w:rPr>
        <w:t>A</w:t>
      </w:r>
      <w:r>
        <w:rPr>
          <w:rFonts w:ascii="Calibri" w:hAnsi="Calibri" w:hint="default"/>
          <w:sz w:val="24"/>
          <w:szCs w:val="24"/>
          <w:rtl w:val="0"/>
        </w:rPr>
        <w:t>”</w:t>
      </w:r>
      <w:r>
        <w:rPr>
          <w:rFonts w:ascii="Calibri" w:hAnsi="Calibri"/>
          <w:sz w:val="24"/>
          <w:szCs w:val="24"/>
          <w:rtl w:val="0"/>
        </w:rPr>
        <w:t xml:space="preserve">, </w:t>
      </w:r>
      <w:r>
        <w:rPr>
          <w:rFonts w:ascii="Calibri" w:hAnsi="Calibri" w:hint="default"/>
          <w:sz w:val="24"/>
          <w:szCs w:val="24"/>
          <w:rtl w:val="1"/>
          <w:lang w:val="ar-SA" w:bidi="ar-SA"/>
        </w:rPr>
        <w:t>“</w:t>
      </w:r>
      <w:r>
        <w:rPr>
          <w:rFonts w:ascii="Calibri" w:hAnsi="Calibri"/>
          <w:sz w:val="24"/>
          <w:szCs w:val="24"/>
          <w:rtl w:val="0"/>
        </w:rPr>
        <w:t>B</w:t>
      </w:r>
      <w:r>
        <w:rPr>
          <w:rFonts w:ascii="Calibri" w:hAnsi="Calibri" w:hint="default"/>
          <w:sz w:val="24"/>
          <w:szCs w:val="24"/>
          <w:rtl w:val="0"/>
        </w:rPr>
        <w:t>”</w:t>
      </w:r>
      <w:r>
        <w:rPr>
          <w:rFonts w:ascii="Calibri" w:hAnsi="Calibri"/>
          <w:sz w:val="24"/>
          <w:szCs w:val="24"/>
          <w:rtl w:val="0"/>
          <w:lang w:val="en-US"/>
        </w:rPr>
        <w:t xml:space="preserve">, and </w:t>
      </w:r>
      <w:r>
        <w:rPr>
          <w:rFonts w:ascii="Calibri" w:hAnsi="Calibri" w:hint="default"/>
          <w:sz w:val="24"/>
          <w:szCs w:val="24"/>
          <w:rtl w:val="1"/>
          <w:lang w:val="ar-SA" w:bidi="ar-SA"/>
        </w:rPr>
        <w:t>“</w:t>
      </w:r>
      <w:r>
        <w:rPr>
          <w:rFonts w:ascii="Calibri" w:hAnsi="Calibri"/>
          <w:sz w:val="24"/>
          <w:szCs w:val="24"/>
          <w:rtl w:val="0"/>
        </w:rPr>
        <w:t>C</w:t>
      </w:r>
      <w:r>
        <w:rPr>
          <w:rFonts w:ascii="Calibri" w:hAnsi="Calibri" w:hint="default"/>
          <w:sz w:val="24"/>
          <w:szCs w:val="24"/>
          <w:rtl w:val="0"/>
          <w:lang w:val="de-DE"/>
        </w:rPr>
        <w:t xml:space="preserve">“ </w:t>
      </w:r>
      <w:r>
        <w:rPr>
          <w:rFonts w:ascii="Calibri" w:hAnsi="Calibri"/>
          <w:sz w:val="24"/>
          <w:szCs w:val="24"/>
          <w:rtl w:val="0"/>
          <w:lang w:val="en-US"/>
        </w:rPr>
        <w:t xml:space="preserve">readings for the membrane stiffness in air,  </w:t>
      </w:r>
      <w:r>
        <w:rPr>
          <w:rFonts w:ascii="Calibri" w:hAnsi="Calibri" w:hint="default"/>
          <w:sz w:val="24"/>
          <w:szCs w:val="24"/>
          <w:rtl w:val="1"/>
          <w:lang w:val="ar-SA" w:bidi="ar-SA"/>
        </w:rPr>
        <w:t>“</w:t>
      </w:r>
      <w:r>
        <w:rPr>
          <w:rFonts w:ascii="Symbol" w:hAnsi="Symbol" w:hint="default"/>
          <w:sz w:val="24"/>
          <w:szCs w:val="24"/>
          <w:rtl w:val="0"/>
        </w:rPr>
        <w:t>D</w:t>
      </w:r>
      <w:r>
        <w:rPr>
          <w:rFonts w:ascii="Calibri" w:hAnsi="Calibri"/>
          <w:sz w:val="24"/>
          <w:szCs w:val="24"/>
          <w:rtl w:val="0"/>
        </w:rPr>
        <w:t>A</w:t>
      </w:r>
      <w:r>
        <w:rPr>
          <w:rFonts w:ascii="Calibri" w:hAnsi="Calibri" w:hint="default"/>
          <w:sz w:val="24"/>
          <w:szCs w:val="24"/>
          <w:rtl w:val="0"/>
        </w:rPr>
        <w:t xml:space="preserve">” </w:t>
      </w:r>
      <w:r>
        <w:rPr>
          <w:rFonts w:ascii="Calibri" w:hAnsi="Calibri"/>
          <w:sz w:val="24"/>
          <w:szCs w:val="24"/>
          <w:rtl w:val="0"/>
          <w:lang w:val="en-US"/>
        </w:rPr>
        <w:t xml:space="preserve">and </w:t>
      </w:r>
      <w:r>
        <w:rPr>
          <w:rFonts w:ascii="Calibri" w:hAnsi="Calibri" w:hint="default"/>
          <w:sz w:val="24"/>
          <w:szCs w:val="24"/>
          <w:rtl w:val="1"/>
          <w:lang w:val="ar-SA" w:bidi="ar-SA"/>
        </w:rPr>
        <w:t>“</w:t>
      </w:r>
      <w:r>
        <w:rPr>
          <w:rFonts w:ascii="Symbol" w:hAnsi="Symbol" w:hint="default"/>
          <w:sz w:val="24"/>
          <w:szCs w:val="24"/>
          <w:rtl w:val="0"/>
        </w:rPr>
        <w:t>D</w:t>
      </w:r>
      <w:r>
        <w:rPr>
          <w:rFonts w:ascii="Calibri" w:hAnsi="Calibri"/>
          <w:sz w:val="24"/>
          <w:szCs w:val="24"/>
          <w:rtl w:val="0"/>
        </w:rPr>
        <w:t>B</w:t>
      </w:r>
      <w:r>
        <w:rPr>
          <w:rFonts w:ascii="Calibri" w:hAnsi="Calibri" w:hint="default"/>
          <w:sz w:val="24"/>
          <w:szCs w:val="24"/>
          <w:rtl w:val="0"/>
        </w:rPr>
        <w:t>”</w:t>
      </w:r>
      <w:r>
        <w:rPr>
          <w:rFonts w:ascii="Calibri" w:hAnsi="Calibri"/>
          <w:sz w:val="24"/>
          <w:szCs w:val="24"/>
          <w:rtl w:val="0"/>
          <w:lang w:val="en-US"/>
        </w:rPr>
        <w:t xml:space="preserve">, to get </w:t>
      </w:r>
      <w:r>
        <w:rPr>
          <w:rFonts w:ascii="Calibri" w:hAnsi="Calibri" w:hint="default"/>
          <w:sz w:val="24"/>
          <w:szCs w:val="24"/>
          <w:rtl w:val="1"/>
          <w:lang w:val="ar-SA" w:bidi="ar-SA"/>
        </w:rPr>
        <w:t>“</w:t>
      </w:r>
      <w:r>
        <w:rPr>
          <w:rFonts w:ascii="Calibri" w:hAnsi="Calibri"/>
          <w:sz w:val="24"/>
          <w:szCs w:val="24"/>
          <w:rtl w:val="0"/>
        </w:rPr>
        <w:t>P</w:t>
      </w:r>
      <w:r>
        <w:rPr>
          <w:rFonts w:ascii="Calibri" w:hAnsi="Calibri"/>
          <w:sz w:val="24"/>
          <w:szCs w:val="24"/>
          <w:vertAlign w:val="subscript"/>
          <w:rtl w:val="0"/>
        </w:rPr>
        <w:t>0</w:t>
      </w:r>
      <w:r>
        <w:rPr>
          <w:rFonts w:ascii="Calibri" w:hAnsi="Calibri" w:hint="default"/>
          <w:sz w:val="24"/>
          <w:szCs w:val="24"/>
          <w:rtl w:val="0"/>
        </w:rPr>
        <w:t>”</w:t>
      </w:r>
      <w:r>
        <w:rPr>
          <w:rFonts w:ascii="Calibri" w:hAnsi="Calibri"/>
          <w:sz w:val="24"/>
          <w:szCs w:val="24"/>
          <w:rtl w:val="0"/>
        </w:rPr>
        <w:t xml:space="preserve">, </w:t>
      </w:r>
      <w:r>
        <w:rPr>
          <w:rFonts w:ascii="Calibri" w:hAnsi="Calibri" w:hint="default"/>
          <w:sz w:val="24"/>
          <w:szCs w:val="24"/>
          <w:rtl w:val="1"/>
          <w:lang w:val="ar-SA" w:bidi="ar-SA"/>
        </w:rPr>
        <w:t>“</w:t>
      </w:r>
      <w:r>
        <w:rPr>
          <w:rFonts w:ascii="Calibri" w:hAnsi="Calibri"/>
          <w:sz w:val="24"/>
          <w:szCs w:val="24"/>
          <w:rtl w:val="0"/>
        </w:rPr>
        <w:t>P</w:t>
      </w:r>
      <w:r>
        <w:rPr>
          <w:rFonts w:ascii="Calibri" w:hAnsi="Calibri"/>
          <w:sz w:val="24"/>
          <w:szCs w:val="24"/>
          <w:vertAlign w:val="subscript"/>
          <w:rtl w:val="0"/>
        </w:rPr>
        <w:t>1</w:t>
      </w:r>
      <w:r>
        <w:rPr>
          <w:rFonts w:ascii="Calibri" w:hAnsi="Calibri" w:hint="default"/>
          <w:sz w:val="24"/>
          <w:szCs w:val="24"/>
          <w:rtl w:val="0"/>
        </w:rPr>
        <w:t>”</w:t>
      </w:r>
      <w:r>
        <w:rPr>
          <w:rFonts w:ascii="Calibri" w:hAnsi="Calibri"/>
          <w:sz w:val="24"/>
          <w:szCs w:val="24"/>
          <w:rtl w:val="0"/>
          <w:lang w:val="en-US"/>
        </w:rPr>
        <w:t xml:space="preserve">, and </w:t>
      </w:r>
      <w:r>
        <w:rPr>
          <w:rFonts w:ascii="Calibri" w:hAnsi="Calibri" w:hint="default"/>
          <w:sz w:val="24"/>
          <w:szCs w:val="24"/>
          <w:rtl w:val="1"/>
          <w:lang w:val="ar-SA" w:bidi="ar-SA"/>
        </w:rPr>
        <w:t>“</w:t>
      </w:r>
      <w:r>
        <w:rPr>
          <w:rFonts w:ascii="Calibri" w:hAnsi="Calibri"/>
          <w:sz w:val="24"/>
          <w:szCs w:val="24"/>
          <w:rtl w:val="0"/>
        </w:rPr>
        <w:t>P</w:t>
      </w:r>
      <w:r>
        <w:rPr>
          <w:rFonts w:ascii="Calibri" w:hAnsi="Calibri"/>
          <w:sz w:val="24"/>
          <w:szCs w:val="24"/>
          <w:vertAlign w:val="subscript"/>
          <w:rtl w:val="0"/>
        </w:rPr>
        <w:t>2</w:t>
      </w:r>
      <w:r>
        <w:rPr>
          <w:rFonts w:ascii="Calibri" w:hAnsi="Calibri" w:hint="default"/>
          <w:sz w:val="24"/>
          <w:szCs w:val="24"/>
          <w:rtl w:val="0"/>
        </w:rPr>
        <w:t xml:space="preserve">” </w:t>
      </w:r>
      <w:r>
        <w:rPr>
          <w:rFonts w:ascii="Calibri" w:hAnsi="Calibri"/>
          <w:sz w:val="24"/>
          <w:szCs w:val="24"/>
          <w:rtl w:val="0"/>
          <w:lang w:val="en-US"/>
        </w:rPr>
        <w:t xml:space="preserve">values.  The </w:t>
      </w:r>
      <w:r>
        <w:rPr>
          <w:rFonts w:ascii="Calibri" w:hAnsi="Calibri" w:hint="default"/>
          <w:sz w:val="24"/>
          <w:szCs w:val="24"/>
          <w:rtl w:val="1"/>
          <w:lang w:val="ar-SA" w:bidi="ar-SA"/>
        </w:rPr>
        <w:t>“</w:t>
      </w:r>
      <w:r>
        <w:rPr>
          <w:rFonts w:ascii="Calibri" w:hAnsi="Calibri"/>
          <w:sz w:val="24"/>
          <w:szCs w:val="24"/>
          <w:rtl w:val="0"/>
        </w:rPr>
        <w:t>P</w:t>
      </w:r>
      <w:r>
        <w:rPr>
          <w:rFonts w:ascii="Calibri" w:hAnsi="Calibri"/>
          <w:sz w:val="24"/>
          <w:szCs w:val="24"/>
          <w:vertAlign w:val="subscript"/>
          <w:rtl w:val="0"/>
        </w:rPr>
        <w:t>0</w:t>
      </w:r>
      <w:r>
        <w:rPr>
          <w:rFonts w:ascii="Calibri" w:hAnsi="Calibri" w:hint="default"/>
          <w:sz w:val="24"/>
          <w:szCs w:val="24"/>
          <w:rtl w:val="0"/>
        </w:rPr>
        <w:t>”</w:t>
      </w:r>
      <w:r>
        <w:rPr>
          <w:rFonts w:ascii="Calibri" w:hAnsi="Calibri"/>
          <w:sz w:val="24"/>
          <w:szCs w:val="24"/>
          <w:rtl w:val="0"/>
        </w:rPr>
        <w:t xml:space="preserve">, </w:t>
      </w:r>
      <w:r>
        <w:rPr>
          <w:rFonts w:ascii="Calibri" w:hAnsi="Calibri" w:hint="default"/>
          <w:sz w:val="24"/>
          <w:szCs w:val="24"/>
          <w:rtl w:val="1"/>
          <w:lang w:val="ar-SA" w:bidi="ar-SA"/>
        </w:rPr>
        <w:t>“</w:t>
      </w:r>
      <w:r>
        <w:rPr>
          <w:rFonts w:ascii="Calibri" w:hAnsi="Calibri"/>
          <w:sz w:val="24"/>
          <w:szCs w:val="24"/>
          <w:rtl w:val="0"/>
        </w:rPr>
        <w:t>P</w:t>
      </w:r>
      <w:r>
        <w:rPr>
          <w:rFonts w:ascii="Calibri" w:hAnsi="Calibri"/>
          <w:sz w:val="24"/>
          <w:szCs w:val="24"/>
          <w:vertAlign w:val="subscript"/>
          <w:rtl w:val="0"/>
        </w:rPr>
        <w:t>1</w:t>
      </w:r>
      <w:r>
        <w:rPr>
          <w:rFonts w:ascii="Calibri" w:hAnsi="Calibri" w:hint="default"/>
          <w:sz w:val="24"/>
          <w:szCs w:val="24"/>
          <w:rtl w:val="0"/>
        </w:rPr>
        <w:t>”</w:t>
      </w:r>
      <w:r>
        <w:rPr>
          <w:rFonts w:ascii="Calibri" w:hAnsi="Calibri"/>
          <w:sz w:val="24"/>
          <w:szCs w:val="24"/>
          <w:rtl w:val="0"/>
          <w:lang w:val="en-US"/>
        </w:rPr>
        <w:t xml:space="preserve">, and </w:t>
      </w:r>
      <w:r>
        <w:rPr>
          <w:rFonts w:ascii="Calibri" w:hAnsi="Calibri" w:hint="default"/>
          <w:sz w:val="24"/>
          <w:szCs w:val="24"/>
          <w:rtl w:val="1"/>
          <w:lang w:val="ar-SA" w:bidi="ar-SA"/>
        </w:rPr>
        <w:t>“</w:t>
      </w:r>
      <w:r>
        <w:rPr>
          <w:rFonts w:ascii="Calibri" w:hAnsi="Calibri"/>
          <w:sz w:val="24"/>
          <w:szCs w:val="24"/>
          <w:rtl w:val="0"/>
        </w:rPr>
        <w:t>P</w:t>
      </w:r>
      <w:r>
        <w:rPr>
          <w:rFonts w:ascii="Calibri" w:hAnsi="Calibri"/>
          <w:sz w:val="24"/>
          <w:szCs w:val="24"/>
          <w:vertAlign w:val="subscript"/>
          <w:rtl w:val="0"/>
        </w:rPr>
        <w:t>2</w:t>
      </w:r>
      <w:r>
        <w:rPr>
          <w:rFonts w:ascii="Calibri" w:hAnsi="Calibri" w:hint="default"/>
          <w:sz w:val="24"/>
          <w:szCs w:val="24"/>
          <w:rtl w:val="0"/>
        </w:rPr>
        <w:t xml:space="preserve">” </w:t>
      </w:r>
      <w:r>
        <w:rPr>
          <w:rFonts w:ascii="Calibri" w:hAnsi="Calibri"/>
          <w:sz w:val="24"/>
          <w:szCs w:val="24"/>
          <w:rtl w:val="0"/>
          <w:lang w:val="en-US"/>
        </w:rPr>
        <w:t>values then compute the intermediate dilatometer indices, I</w:t>
      </w:r>
      <w:r>
        <w:rPr>
          <w:rFonts w:ascii="Calibri" w:hAnsi="Calibri"/>
          <w:sz w:val="24"/>
          <w:szCs w:val="24"/>
          <w:vertAlign w:val="subscript"/>
          <w:rtl w:val="0"/>
          <w:lang w:val="en-US"/>
        </w:rPr>
        <w:t xml:space="preserve">D </w:t>
      </w:r>
      <w:r>
        <w:rPr>
          <w:rFonts w:ascii="Calibri" w:hAnsi="Calibri"/>
          <w:sz w:val="24"/>
          <w:szCs w:val="24"/>
          <w:rtl w:val="0"/>
          <w:lang w:val="de-DE"/>
        </w:rPr>
        <w:t>(Material Index), K</w:t>
      </w:r>
      <w:r>
        <w:rPr>
          <w:rFonts w:ascii="Calibri" w:hAnsi="Calibri"/>
          <w:sz w:val="24"/>
          <w:szCs w:val="24"/>
          <w:vertAlign w:val="subscript"/>
          <w:rtl w:val="0"/>
        </w:rPr>
        <w:t>D</w:t>
      </w:r>
      <w:r>
        <w:rPr>
          <w:rFonts w:ascii="Calibri" w:hAnsi="Calibri"/>
          <w:sz w:val="24"/>
          <w:szCs w:val="24"/>
          <w:rtl w:val="0"/>
          <w:lang w:val="de-DE"/>
        </w:rPr>
        <w:t xml:space="preserve"> (Horizontal Stress Index), E</w:t>
      </w:r>
      <w:r>
        <w:rPr>
          <w:rFonts w:ascii="Calibri" w:hAnsi="Calibri"/>
          <w:sz w:val="24"/>
          <w:szCs w:val="24"/>
          <w:vertAlign w:val="subscript"/>
          <w:rtl w:val="0"/>
          <w:lang w:val="en-US"/>
        </w:rPr>
        <w:t xml:space="preserve">D </w:t>
      </w:r>
      <w:r>
        <w:rPr>
          <w:rFonts w:ascii="Calibri" w:hAnsi="Calibri"/>
          <w:sz w:val="24"/>
          <w:szCs w:val="24"/>
          <w:rtl w:val="0"/>
          <w:lang w:val="en-US"/>
        </w:rPr>
        <w:t>(Dilatometer Modulus) and U</w:t>
      </w:r>
      <w:r>
        <w:rPr>
          <w:rFonts w:ascii="Calibri" w:hAnsi="Calibri"/>
          <w:sz w:val="24"/>
          <w:szCs w:val="24"/>
          <w:vertAlign w:val="subscript"/>
          <w:rtl w:val="0"/>
        </w:rPr>
        <w:t>D</w:t>
      </w:r>
      <w:r>
        <w:rPr>
          <w:rFonts w:ascii="Calibri" w:hAnsi="Calibri"/>
          <w:sz w:val="24"/>
          <w:szCs w:val="24"/>
          <w:rtl w:val="0"/>
          <w:lang w:val="en-US"/>
        </w:rPr>
        <w:t xml:space="preserve"> (Pore Pressure Index).  The engineer uses accurate correlation equations that converge with these multiple independent indices to obtain desired soil properties.  Dr. Silvano Marchetti often described this method of creating correlation equations as </w:t>
      </w:r>
      <w:r>
        <w:rPr>
          <w:rFonts w:ascii="Calibri" w:hAnsi="Calibri" w:hint="default"/>
          <w:sz w:val="24"/>
          <w:szCs w:val="24"/>
          <w:rtl w:val="1"/>
          <w:lang w:val="ar-SA" w:bidi="ar-SA"/>
        </w:rPr>
        <w:t>“</w:t>
      </w:r>
      <w:r>
        <w:rPr>
          <w:rFonts w:ascii="Calibri" w:hAnsi="Calibri"/>
          <w:sz w:val="24"/>
          <w:szCs w:val="24"/>
          <w:rtl w:val="0"/>
          <w:lang w:val="fr-FR"/>
        </w:rPr>
        <w:t>triangulation</w:t>
      </w:r>
      <w:r>
        <w:rPr>
          <w:rFonts w:ascii="Calibri" w:hAnsi="Calibri" w:hint="default"/>
          <w:sz w:val="24"/>
          <w:szCs w:val="24"/>
          <w:rtl w:val="0"/>
        </w:rPr>
        <w:t>”</w:t>
      </w:r>
      <w:r>
        <w:rPr>
          <w:rFonts w:ascii="Calibri" w:hAnsi="Calibri"/>
          <w:sz w:val="24"/>
          <w:szCs w:val="24"/>
          <w:rtl w:val="0"/>
          <w:lang w:val="en-US"/>
        </w:rPr>
        <w:t>--using two or more independent variables to hone in on a third dependent parameter.  Since 1980 when Dr. Marchetti developed his correlation equations, only the correlation with angle of internal friction (Schmertmann, 1986) has been improved demonstrating the high level of research that Dr. Marchetti originally performed.  From the dilatometer test data, the engineer processes the data to obtain the following soil parameters (Figure 16):</w:t>
      </w:r>
    </w:p>
    <w:p>
      <w:pPr>
        <w:pStyle w:val="ISC6_body"/>
        <w:ind w:firstLine="0"/>
      </w:pPr>
    </w:p>
    <w:p>
      <w:pPr>
        <w:pStyle w:val="List Paragraph"/>
        <w:numPr>
          <w:ilvl w:val="0"/>
          <w:numId w:val="4"/>
        </w:numPr>
        <w:rPr>
          <w:lang w:val="en-US"/>
        </w:rPr>
      </w:pPr>
      <w:r>
        <w:rPr>
          <w:rtl w:val="0"/>
          <w:lang w:val="en-US"/>
        </w:rPr>
        <w:t>Drained friction angle for cohesionless soil [</w:t>
      </w:r>
      <w:r>
        <w:rPr>
          <w:rFonts w:ascii="Symbol" w:hAnsi="Symbol" w:hint="default"/>
          <w:rtl w:val="0"/>
          <w:lang w:val="en-US"/>
        </w:rPr>
        <w:t>f</w:t>
      </w:r>
      <w:r>
        <w:rPr>
          <w:rFonts w:ascii="Cambria" w:hAnsi="Cambria" w:hint="default"/>
          <w:rtl w:val="0"/>
          <w:lang w:val="en-US"/>
        </w:rPr>
        <w:t>’</w:t>
      </w:r>
      <w:r>
        <w:rPr>
          <w:rtl w:val="0"/>
          <w:lang w:val="en-US"/>
        </w:rPr>
        <w:t>],</w:t>
      </w:r>
    </w:p>
    <w:p>
      <w:pPr>
        <w:pStyle w:val="List Paragraph"/>
        <w:numPr>
          <w:ilvl w:val="0"/>
          <w:numId w:val="4"/>
        </w:numPr>
        <w:rPr>
          <w:lang w:val="en-US"/>
        </w:rPr>
      </w:pPr>
      <w:r>
        <w:rPr>
          <w:rtl w:val="0"/>
          <w:lang w:val="en-US"/>
        </w:rPr>
        <w:t>Undrained shear strength for cohesive soil [c</w:t>
      </w:r>
      <w:r>
        <w:rPr>
          <w:vertAlign w:val="subscript"/>
          <w:rtl w:val="0"/>
          <w:lang w:val="en-US"/>
        </w:rPr>
        <w:t>u</w:t>
      </w:r>
      <w:r>
        <w:rPr>
          <w:rtl w:val="0"/>
          <w:lang w:val="en-US"/>
        </w:rPr>
        <w:t>]</w:t>
      </w:r>
    </w:p>
    <w:p>
      <w:pPr>
        <w:pStyle w:val="List Paragraph"/>
        <w:numPr>
          <w:ilvl w:val="0"/>
          <w:numId w:val="4"/>
        </w:numPr>
        <w:rPr>
          <w:lang w:val="en-US"/>
        </w:rPr>
      </w:pPr>
      <w:r>
        <w:rPr>
          <w:rtl w:val="0"/>
          <w:lang w:val="en-US"/>
        </w:rPr>
        <w:t>Total unit weight of soil [</w:t>
      </w:r>
      <w:r>
        <w:rPr>
          <w:rtl w:val="0"/>
          <w:lang w:val="en-US"/>
        </w:rPr>
        <w:t>γ</w:t>
      </w:r>
      <w:r>
        <w:rPr>
          <w:vertAlign w:val="subscript"/>
          <w:rtl w:val="0"/>
          <w:lang w:val="en-US"/>
        </w:rPr>
        <w:t>t</w:t>
      </w:r>
      <w:r>
        <w:rPr>
          <w:rtl w:val="0"/>
          <w:lang w:val="en-US"/>
        </w:rPr>
        <w:t>],</w:t>
      </w:r>
    </w:p>
    <w:p>
      <w:pPr>
        <w:pStyle w:val="List Paragraph"/>
        <w:numPr>
          <w:ilvl w:val="0"/>
          <w:numId w:val="4"/>
        </w:numPr>
        <w:rPr>
          <w:lang w:val="en-US"/>
        </w:rPr>
      </w:pPr>
      <w:r>
        <w:rPr>
          <w:rtl w:val="0"/>
          <w:lang w:val="en-US"/>
        </w:rPr>
        <w:t>Coefficient of lateral earth pressure at rest [k</w:t>
      </w:r>
      <w:r>
        <w:rPr>
          <w:vertAlign w:val="subscript"/>
          <w:rtl w:val="0"/>
          <w:lang w:val="en-US"/>
        </w:rPr>
        <w:t>o</w:t>
      </w:r>
      <w:r>
        <w:rPr>
          <w:rtl w:val="0"/>
          <w:lang w:val="en-US"/>
        </w:rPr>
        <w:t>],</w:t>
      </w:r>
    </w:p>
    <w:p>
      <w:pPr>
        <w:pStyle w:val="List Paragraph"/>
        <w:numPr>
          <w:ilvl w:val="0"/>
          <w:numId w:val="4"/>
        </w:numPr>
        <w:rPr>
          <w:lang w:val="en-US"/>
        </w:rPr>
      </w:pPr>
      <w:r>
        <w:rPr>
          <w:rtl w:val="0"/>
          <w:lang w:val="en-US"/>
        </w:rPr>
        <w:t>Preconsolidation pressure [p</w:t>
      </w:r>
      <w:r>
        <w:rPr>
          <w:vertAlign w:val="subscript"/>
          <w:rtl w:val="0"/>
          <w:lang w:val="en-US"/>
        </w:rPr>
        <w:t>c</w:t>
      </w:r>
      <w:r>
        <w:rPr>
          <w:rtl w:val="0"/>
          <w:lang w:val="en-US"/>
        </w:rPr>
        <w:t xml:space="preserve">], </w:t>
      </w:r>
    </w:p>
    <w:p>
      <w:pPr>
        <w:pStyle w:val="List Paragraph"/>
        <w:numPr>
          <w:ilvl w:val="0"/>
          <w:numId w:val="4"/>
        </w:numPr>
        <w:rPr>
          <w:lang w:val="en-US"/>
        </w:rPr>
      </w:pPr>
      <w:r>
        <w:rPr>
          <w:rtl w:val="0"/>
          <w:lang w:val="en-US"/>
        </w:rPr>
        <w:t>Constrained deformation modulus, [M] and</w:t>
      </w:r>
    </w:p>
    <w:p>
      <w:pPr>
        <w:pStyle w:val="List Paragraph"/>
        <w:numPr>
          <w:ilvl w:val="0"/>
          <w:numId w:val="4"/>
        </w:numPr>
        <w:rPr>
          <w:lang w:val="en-US"/>
        </w:rPr>
      </w:pPr>
      <w:r>
        <w:rPr>
          <w:rtl w:val="0"/>
          <w:lang w:val="en-US"/>
        </w:rPr>
        <w:t>Over-consolidation ratio [OCR].</w:t>
      </w:r>
    </w:p>
    <w:p>
      <w:pPr>
        <w:pStyle w:val="Body"/>
      </w:pPr>
    </w:p>
    <w:p>
      <w:pPr>
        <w:pStyle w:val="Body"/>
      </w:pPr>
      <w:r>
        <w:drawing xmlns:a="http://schemas.openxmlformats.org/drawingml/2006/main">
          <wp:inline distT="0" distB="0" distL="0" distR="0">
            <wp:extent cx="5943600" cy="3591560"/>
            <wp:effectExtent l="0" t="0" r="0" b="0"/>
            <wp:docPr id="1073741844" name="officeArt object" descr="Picture 24"/>
            <wp:cNvGraphicFramePr/>
            <a:graphic xmlns:a="http://schemas.openxmlformats.org/drawingml/2006/main">
              <a:graphicData uri="http://schemas.openxmlformats.org/drawingml/2006/picture">
                <pic:pic xmlns:pic="http://schemas.openxmlformats.org/drawingml/2006/picture">
                  <pic:nvPicPr>
                    <pic:cNvPr id="1073741844" name="Picture 24" descr="Picture 24"/>
                    <pic:cNvPicPr>
                      <a:picLocks noChangeAspect="1"/>
                    </pic:cNvPicPr>
                  </pic:nvPicPr>
                  <pic:blipFill>
                    <a:blip r:embed="rId23">
                      <a:extLst/>
                    </a:blip>
                    <a:stretch>
                      <a:fillRect/>
                    </a:stretch>
                  </pic:blipFill>
                  <pic:spPr>
                    <a:xfrm>
                      <a:off x="0" y="0"/>
                      <a:ext cx="5943600" cy="3591560"/>
                    </a:xfrm>
                    <a:prstGeom prst="rect">
                      <a:avLst/>
                    </a:prstGeom>
                    <a:ln w="12700" cap="flat">
                      <a:noFill/>
                      <a:miter lim="400000"/>
                    </a:ln>
                    <a:effectLst/>
                  </pic:spPr>
                </pic:pic>
              </a:graphicData>
            </a:graphic>
          </wp:inline>
        </w:drawing>
      </w:r>
    </w:p>
    <w:p>
      <w:pPr>
        <w:pStyle w:val="Body"/>
      </w:pPr>
      <w:r>
        <w:rPr>
          <w:rtl w:val="0"/>
          <w:lang w:val="it-IT"/>
        </w:rPr>
        <w:t>Figure 16: Marchetti (1980) equations</w:t>
      </w:r>
    </w:p>
    <w:p>
      <w:pPr>
        <w:pStyle w:val="Body"/>
      </w:pPr>
      <w:r>
        <w:drawing xmlns:a="http://schemas.openxmlformats.org/drawingml/2006/main">
          <wp:anchor distT="57150" distB="57150" distL="57150" distR="57150" simplePos="0" relativeHeight="251676672" behindDoc="0" locked="0" layoutInCell="1" allowOverlap="1">
            <wp:simplePos x="0" y="0"/>
            <wp:positionH relativeFrom="column">
              <wp:posOffset>3074670</wp:posOffset>
            </wp:positionH>
            <wp:positionV relativeFrom="line">
              <wp:posOffset>5080</wp:posOffset>
            </wp:positionV>
            <wp:extent cx="2624328" cy="1965961"/>
            <wp:effectExtent l="0" t="0" r="0" b="0"/>
            <wp:wrapSquare wrapText="bothSides" distL="57150" distR="57150" distT="57150" distB="57150"/>
            <wp:docPr id="1073741845" name="officeArt object" descr="Picture 213"/>
            <wp:cNvGraphicFramePr/>
            <a:graphic xmlns:a="http://schemas.openxmlformats.org/drawingml/2006/main">
              <a:graphicData uri="http://schemas.openxmlformats.org/drawingml/2006/picture">
                <pic:pic xmlns:pic="http://schemas.openxmlformats.org/drawingml/2006/picture">
                  <pic:nvPicPr>
                    <pic:cNvPr id="1073741845" name="Picture 213" descr="Picture 213"/>
                    <pic:cNvPicPr>
                      <a:picLocks noChangeAspect="1"/>
                    </pic:cNvPicPr>
                  </pic:nvPicPr>
                  <pic:blipFill>
                    <a:blip r:embed="rId24">
                      <a:extLst/>
                    </a:blip>
                    <a:stretch>
                      <a:fillRect/>
                    </a:stretch>
                  </pic:blipFill>
                  <pic:spPr>
                    <a:xfrm>
                      <a:off x="0" y="0"/>
                      <a:ext cx="2624328" cy="1965961"/>
                    </a:xfrm>
                    <a:prstGeom prst="rect">
                      <a:avLst/>
                    </a:prstGeom>
                    <a:ln w="12700" cap="flat">
                      <a:noFill/>
                      <a:miter lim="400000"/>
                    </a:ln>
                    <a:effectLst/>
                  </pic:spPr>
                </pic:pic>
              </a:graphicData>
            </a:graphic>
          </wp:anchor>
        </w:drawing>
      </w:r>
      <w:r>
        <w:rPr>
          <w:rtl w:val="0"/>
          <w:lang w:val="en-US"/>
        </w:rPr>
        <w:t>As shown numerically in the rectangular boxes on the Figure 16 chart, the unit weight increases as the dilatometer modulus, E</w:t>
      </w:r>
      <w:r>
        <w:rPr>
          <w:vertAlign w:val="subscript"/>
          <w:rtl w:val="0"/>
        </w:rPr>
        <w:t>D</w:t>
      </w:r>
      <w:r>
        <w:rPr>
          <w:rtl w:val="0"/>
          <w:lang w:val="en-US"/>
        </w:rPr>
        <w:t>, increases.  Cohesionless soil has a high I</w:t>
      </w:r>
      <w:r>
        <w:rPr>
          <w:vertAlign w:val="subscript"/>
          <w:rtl w:val="0"/>
        </w:rPr>
        <w:t>D</w:t>
      </w:r>
      <w:r>
        <w:rPr>
          <w:rtl w:val="0"/>
          <w:lang w:val="en-US"/>
        </w:rPr>
        <w:t>, while cohesive soil has a low I</w:t>
      </w:r>
      <w:r>
        <w:rPr>
          <w:vertAlign w:val="subscript"/>
          <w:rtl w:val="0"/>
        </w:rPr>
        <w:t>D</w:t>
      </w:r>
      <w:r>
        <w:rPr>
          <w:rtl w:val="0"/>
          <w:lang w:val="en-US"/>
        </w:rPr>
        <w:t>.  Figure 17 illustrates the difference between identifying cohesive and cohesionless soils.</w:t>
      </w:r>
    </w:p>
    <w:p>
      <w:pPr>
        <w:pStyle w:val="Body"/>
      </w:pPr>
    </w:p>
    <w:p>
      <w:pPr>
        <w:pStyle w:val="Body"/>
      </w:pPr>
    </w:p>
    <w:p>
      <w:pPr>
        <w:pStyle w:val="Body"/>
      </w:pPr>
    </w:p>
    <w:p>
      <w:pPr>
        <w:pStyle w:val="Body"/>
        <w:ind w:left="3600" w:firstLine="720"/>
      </w:pPr>
      <w:r>
        <w:rPr>
          <w:rtl w:val="0"/>
          <w:lang w:val="en-US"/>
        </w:rPr>
        <w:t>Figure 17: Differences identifying clays and sands</w:t>
      </w:r>
    </w:p>
    <w:p>
      <w:pPr>
        <w:pStyle w:val="Body"/>
      </w:pPr>
    </w:p>
    <w:p>
      <w:pPr>
        <w:pStyle w:val="Body"/>
      </w:pPr>
      <w:r>
        <w:rPr>
          <w:rtl w:val="0"/>
          <w:lang w:val="en-US"/>
        </w:rPr>
        <w:t>We use Windows DMT (WinDMT) computer program to process the field data.  Figure 18 presents the legend for the output from WinDMT.</w:t>
      </w:r>
    </w:p>
    <w:p>
      <w:pPr>
        <w:pStyle w:val="Body"/>
      </w:pPr>
    </w:p>
    <w:p>
      <w:pPr>
        <w:pStyle w:val="Body"/>
      </w:pPr>
      <w:r>
        <w:drawing xmlns:a="http://schemas.openxmlformats.org/drawingml/2006/main">
          <wp:inline distT="0" distB="0" distL="0" distR="0">
            <wp:extent cx="3901826" cy="4848225"/>
            <wp:effectExtent l="0" t="0" r="0" b="0"/>
            <wp:docPr id="1073741846" name="officeArt object" descr="Picture 40"/>
            <wp:cNvGraphicFramePr/>
            <a:graphic xmlns:a="http://schemas.openxmlformats.org/drawingml/2006/main">
              <a:graphicData uri="http://schemas.openxmlformats.org/drawingml/2006/picture">
                <pic:pic xmlns:pic="http://schemas.openxmlformats.org/drawingml/2006/picture">
                  <pic:nvPicPr>
                    <pic:cNvPr id="1073741846" name="Picture 40" descr="Picture 40"/>
                    <pic:cNvPicPr>
                      <a:picLocks noChangeAspect="1"/>
                    </pic:cNvPicPr>
                  </pic:nvPicPr>
                  <pic:blipFill>
                    <a:blip r:embed="rId25">
                      <a:extLst/>
                    </a:blip>
                    <a:stretch>
                      <a:fillRect/>
                    </a:stretch>
                  </pic:blipFill>
                  <pic:spPr>
                    <a:xfrm>
                      <a:off x="0" y="0"/>
                      <a:ext cx="3901826" cy="4848225"/>
                    </a:xfrm>
                    <a:prstGeom prst="rect">
                      <a:avLst/>
                    </a:prstGeom>
                    <a:ln w="12700" cap="flat">
                      <a:noFill/>
                      <a:miter lim="400000"/>
                    </a:ln>
                    <a:effectLst/>
                  </pic:spPr>
                </pic:pic>
              </a:graphicData>
            </a:graphic>
          </wp:inline>
        </w:drawing>
      </w:r>
    </w:p>
    <w:p>
      <w:pPr>
        <w:pStyle w:val="Body"/>
      </w:pPr>
    </w:p>
    <w:p>
      <w:pPr>
        <w:pStyle w:val="Body"/>
      </w:pPr>
      <w:r>
        <w:rPr>
          <w:rtl w:val="0"/>
          <w:lang w:val="de-DE"/>
        </w:rPr>
        <w:t>Figure 18: WinDMT Output Legend</w:t>
      </w:r>
    </w:p>
    <w:p>
      <w:pPr>
        <w:pStyle w:val="Body"/>
      </w:pPr>
      <w:r>
        <w:rPr>
          <w:rtl w:val="0"/>
          <w:lang w:val="en-US"/>
        </w:rPr>
        <w:t xml:space="preserve">Figure 19 shows an example of the corrected dilatometer pressure readings for membrane calibrations and identifying the soil behavior type. </w:t>
      </w:r>
    </w:p>
    <w:p>
      <w:pPr>
        <w:pStyle w:val="Body"/>
      </w:pPr>
    </w:p>
    <w:p>
      <w:pPr>
        <w:pStyle w:val="Body"/>
      </w:pPr>
      <w:r>
        <w:drawing xmlns:a="http://schemas.openxmlformats.org/drawingml/2006/main">
          <wp:inline distT="0" distB="0" distL="0" distR="0">
            <wp:extent cx="5943600" cy="5012055"/>
            <wp:effectExtent l="0" t="0" r="0" b="0"/>
            <wp:docPr id="1073741847" name="officeArt object" descr="Picture 32"/>
            <wp:cNvGraphicFramePr/>
            <a:graphic xmlns:a="http://schemas.openxmlformats.org/drawingml/2006/main">
              <a:graphicData uri="http://schemas.openxmlformats.org/drawingml/2006/picture">
                <pic:pic xmlns:pic="http://schemas.openxmlformats.org/drawingml/2006/picture">
                  <pic:nvPicPr>
                    <pic:cNvPr id="1073741847" name="Picture 32" descr="Picture 32"/>
                    <pic:cNvPicPr>
                      <a:picLocks noChangeAspect="1"/>
                    </pic:cNvPicPr>
                  </pic:nvPicPr>
                  <pic:blipFill>
                    <a:blip r:embed="rId26">
                      <a:extLst/>
                    </a:blip>
                    <a:stretch>
                      <a:fillRect/>
                    </a:stretch>
                  </pic:blipFill>
                  <pic:spPr>
                    <a:xfrm>
                      <a:off x="0" y="0"/>
                      <a:ext cx="5943600" cy="5012055"/>
                    </a:xfrm>
                    <a:prstGeom prst="rect">
                      <a:avLst/>
                    </a:prstGeom>
                    <a:ln w="12700" cap="flat">
                      <a:noFill/>
                      <a:miter lim="400000"/>
                    </a:ln>
                    <a:effectLst/>
                  </pic:spPr>
                </pic:pic>
              </a:graphicData>
            </a:graphic>
          </wp:inline>
        </w:drawing>
      </w:r>
    </w:p>
    <w:p>
      <w:pPr>
        <w:pStyle w:val="Body"/>
      </w:pPr>
    </w:p>
    <w:p>
      <w:pPr>
        <w:pStyle w:val="Body"/>
      </w:pPr>
      <w:r>
        <w:rPr>
          <w:rtl w:val="0"/>
          <w:lang w:val="en-US"/>
        </w:rPr>
        <w:t>Figure 19: Example Dilatometer Test Results</w:t>
      </w:r>
    </w:p>
    <w:p>
      <w:pPr>
        <w:pStyle w:val="Body"/>
      </w:pPr>
    </w:p>
    <w:p>
      <w:pPr>
        <w:pStyle w:val="Body"/>
        <w:rPr>
          <w:b w:val="1"/>
          <w:bCs w:val="1"/>
          <w:sz w:val="22"/>
          <w:szCs w:val="22"/>
        </w:rPr>
      </w:pPr>
      <w:r>
        <w:rPr>
          <w:b w:val="1"/>
          <w:bCs w:val="1"/>
          <w:sz w:val="22"/>
          <w:szCs w:val="22"/>
          <w:rtl w:val="0"/>
          <w:lang w:val="en-US"/>
        </w:rPr>
        <w:t xml:space="preserve">Shear Strength: </w:t>
      </w:r>
      <w:r>
        <w:rPr>
          <w:sz w:val="22"/>
          <w:szCs w:val="22"/>
          <w:rtl w:val="0"/>
          <w:lang w:val="en-US"/>
        </w:rPr>
        <w:t>The engineer can complete a dilatometer test in one to two minutes.  Soils with an I</w:t>
      </w:r>
      <w:r>
        <w:rPr>
          <w:sz w:val="22"/>
          <w:szCs w:val="22"/>
          <w:vertAlign w:val="subscript"/>
          <w:rtl w:val="0"/>
        </w:rPr>
        <w:t>D</w:t>
      </w:r>
      <w:r>
        <w:rPr>
          <w:sz w:val="22"/>
          <w:szCs w:val="22"/>
          <w:rtl w:val="0"/>
          <w:lang w:val="en-US"/>
        </w:rPr>
        <w:t xml:space="preserve"> &lt; 0.6 test as undrained soil, while soils with an I</w:t>
      </w:r>
      <w:r>
        <w:rPr>
          <w:sz w:val="22"/>
          <w:szCs w:val="22"/>
          <w:vertAlign w:val="subscript"/>
          <w:rtl w:val="0"/>
        </w:rPr>
        <w:t>D</w:t>
      </w:r>
      <w:r>
        <w:rPr>
          <w:sz w:val="22"/>
          <w:szCs w:val="22"/>
          <w:rtl w:val="0"/>
          <w:lang w:val="en-US"/>
        </w:rPr>
        <w:t xml:space="preserve"> &gt; 1.2 test as drained soil.  For cohesionless soil, Marchetti</w:t>
      </w:r>
      <w:r>
        <w:rPr>
          <w:sz w:val="22"/>
          <w:szCs w:val="22"/>
          <w:rtl w:val="1"/>
        </w:rPr>
        <w:t>’</w:t>
      </w:r>
      <w:r>
        <w:rPr>
          <w:sz w:val="22"/>
          <w:szCs w:val="22"/>
          <w:rtl w:val="0"/>
          <w:lang w:val="en-US"/>
        </w:rPr>
        <w:t xml:space="preserve">s correlation for the angle of internal friction provides a lower-bound and too conservative value.  From theory for penetration of a rigid wedge developed by Durgunoglu and Mitchell (1973) for the Apollo mission to the moon, </w:t>
      </w:r>
      <w:r>
        <w:rPr>
          <w:outline w:val="0"/>
          <w:color w:val="0000ff"/>
          <w:sz w:val="22"/>
          <w:szCs w:val="22"/>
          <w:u w:color="0000ff"/>
          <w:rtl w:val="0"/>
          <w:lang w:val="de-DE"/>
          <w14:textFill>
            <w14:solidFill>
              <w14:srgbClr w14:val="0000FF"/>
            </w14:solidFill>
          </w14:textFill>
        </w:rPr>
        <w:t xml:space="preserve">Schmertmann (1986) </w:t>
      </w:r>
      <w:r>
        <w:rPr>
          <w:sz w:val="22"/>
          <w:szCs w:val="22"/>
          <w:rtl w:val="0"/>
          <w:lang w:val="en-US"/>
        </w:rPr>
        <w:t>used elastic half-space theory with thrust measurements and the horizontal stress from K</w:t>
      </w:r>
      <w:r>
        <w:rPr>
          <w:sz w:val="22"/>
          <w:szCs w:val="22"/>
          <w:vertAlign w:val="subscript"/>
          <w:rtl w:val="0"/>
        </w:rPr>
        <w:t>D</w:t>
      </w:r>
      <w:r>
        <w:rPr>
          <w:sz w:val="22"/>
          <w:szCs w:val="22"/>
          <w:rtl w:val="0"/>
          <w:lang w:val="en-US"/>
        </w:rPr>
        <w:t>, to accurately calculate the plane strain angle of internal friction.  We only use this method because of its accuracy.  Schmertmann suggests computing the triaxial angle of internal friction using the following:</w:t>
      </w:r>
    </w:p>
    <w:p>
      <w:pPr>
        <w:pStyle w:val="Body"/>
        <w:rPr>
          <w:sz w:val="22"/>
          <w:szCs w:val="22"/>
        </w:rPr>
      </w:pPr>
    </w:p>
    <w:p>
      <w:pPr>
        <w:pStyle w:val="Body"/>
        <w:rPr>
          <w:sz w:val="22"/>
          <w:szCs w:val="22"/>
        </w:rPr>
      </w:pPr>
      <w:r>
        <w:rPr>
          <w:sz w:val="22"/>
          <w:szCs w:val="22"/>
        </w:rPr>
        <w:tab/>
      </w:r>
      <w:r>
        <w:rPr>
          <w:rFonts w:ascii="Symbol" w:hAnsi="Symbol" w:hint="default"/>
          <w:sz w:val="22"/>
          <w:szCs w:val="22"/>
          <w:rtl w:val="0"/>
        </w:rPr>
        <w:t>f</w:t>
      </w:r>
      <w:r>
        <w:rPr>
          <w:sz w:val="22"/>
          <w:szCs w:val="22"/>
          <w:vertAlign w:val="subscript"/>
          <w:rtl w:val="0"/>
          <w:lang w:val="pt-PT"/>
        </w:rPr>
        <w:t>txl</w:t>
      </w:r>
      <w:r>
        <w:rPr>
          <w:sz w:val="22"/>
          <w:szCs w:val="22"/>
          <w:rtl w:val="0"/>
          <w:lang w:val="pt-PT"/>
        </w:rPr>
        <w:t xml:space="preserve"> =</w:t>
      </w:r>
      <w:r>
        <w:rPr>
          <w:rFonts w:ascii="Symbol" w:hAnsi="Symbol" w:hint="default"/>
          <w:sz w:val="22"/>
          <w:szCs w:val="22"/>
          <w:rtl w:val="0"/>
        </w:rPr>
        <w:t>f</w:t>
      </w:r>
      <w:r>
        <w:rPr>
          <w:sz w:val="22"/>
          <w:szCs w:val="22"/>
          <w:vertAlign w:val="subscript"/>
          <w:rtl w:val="0"/>
          <w:lang w:val="pt-PT"/>
        </w:rPr>
        <w:t>ps</w:t>
      </w:r>
      <w:r>
        <w:rPr>
          <w:sz w:val="22"/>
          <w:szCs w:val="22"/>
          <w:rtl w:val="0"/>
          <w:lang w:val="pt-PT"/>
        </w:rPr>
        <w:tab/>
        <w:tab/>
        <w:tab/>
        <w:tab/>
        <w:tab/>
        <w:t xml:space="preserve">for </w:t>
      </w:r>
      <w:r>
        <w:rPr>
          <w:rFonts w:ascii="Symbol" w:hAnsi="Symbol" w:hint="default"/>
          <w:sz w:val="22"/>
          <w:szCs w:val="22"/>
          <w:rtl w:val="0"/>
        </w:rPr>
        <w:t>f</w:t>
      </w:r>
      <w:r>
        <w:rPr>
          <w:sz w:val="22"/>
          <w:szCs w:val="22"/>
          <w:vertAlign w:val="subscript"/>
          <w:rtl w:val="0"/>
          <w:lang w:val="pt-PT"/>
        </w:rPr>
        <w:t>ps</w:t>
      </w:r>
      <w:r>
        <w:rPr>
          <w:sz w:val="22"/>
          <w:szCs w:val="22"/>
          <w:rtl w:val="0"/>
          <w:lang w:val="pt-PT"/>
        </w:rPr>
        <w:t xml:space="preserve"> &lt;32</w:t>
      </w:r>
      <w:r>
        <w:rPr>
          <w:sz w:val="22"/>
          <w:szCs w:val="22"/>
          <w:vertAlign w:val="superscript"/>
          <w:rtl w:val="0"/>
          <w:lang w:val="pt-PT"/>
        </w:rPr>
        <w:t>o</w:t>
      </w:r>
    </w:p>
    <w:p>
      <w:pPr>
        <w:pStyle w:val="Body"/>
        <w:rPr>
          <w:sz w:val="22"/>
          <w:szCs w:val="22"/>
        </w:rPr>
      </w:pPr>
      <w:r>
        <w:rPr>
          <w:sz w:val="22"/>
          <w:szCs w:val="22"/>
          <w:lang w:val="pt-PT"/>
        </w:rPr>
        <w:tab/>
      </w:r>
      <w:r>
        <w:rPr>
          <w:rFonts w:ascii="Symbol" w:hAnsi="Symbol" w:hint="default"/>
          <w:sz w:val="22"/>
          <w:szCs w:val="22"/>
          <w:rtl w:val="0"/>
        </w:rPr>
        <w:t>f</w:t>
      </w:r>
      <w:r>
        <w:rPr>
          <w:sz w:val="22"/>
          <w:szCs w:val="22"/>
          <w:vertAlign w:val="subscript"/>
          <w:rtl w:val="0"/>
          <w:lang w:val="pt-PT"/>
        </w:rPr>
        <w:t>txl</w:t>
      </w:r>
      <w:r>
        <w:rPr>
          <w:sz w:val="22"/>
          <w:szCs w:val="22"/>
          <w:rtl w:val="0"/>
          <w:lang w:val="pt-PT"/>
        </w:rPr>
        <w:t xml:space="preserve"> = 32</w:t>
      </w:r>
      <w:r>
        <w:rPr>
          <w:sz w:val="22"/>
          <w:szCs w:val="22"/>
          <w:vertAlign w:val="superscript"/>
          <w:rtl w:val="0"/>
          <w:lang w:val="pt-PT"/>
        </w:rPr>
        <w:t>o</w:t>
      </w:r>
      <w:r>
        <w:rPr>
          <w:sz w:val="22"/>
          <w:szCs w:val="22"/>
          <w:rtl w:val="0"/>
          <w:lang w:val="pt-PT"/>
        </w:rPr>
        <w:t xml:space="preserve"> + 2/3 * (</w:t>
      </w:r>
      <w:r>
        <w:rPr>
          <w:rFonts w:ascii="Symbol" w:hAnsi="Symbol" w:hint="default"/>
          <w:sz w:val="22"/>
          <w:szCs w:val="22"/>
          <w:rtl w:val="0"/>
        </w:rPr>
        <w:t>f</w:t>
      </w:r>
      <w:r>
        <w:rPr>
          <w:sz w:val="22"/>
          <w:szCs w:val="22"/>
          <w:vertAlign w:val="subscript"/>
          <w:rtl w:val="0"/>
          <w:lang w:val="pt-PT"/>
        </w:rPr>
        <w:t>ps</w:t>
      </w:r>
      <w:r>
        <w:rPr>
          <w:sz w:val="22"/>
          <w:szCs w:val="22"/>
          <w:rtl w:val="0"/>
          <w:lang w:val="pt-PT"/>
        </w:rPr>
        <w:t xml:space="preserve"> – </w:t>
      </w:r>
      <w:r>
        <w:rPr>
          <w:sz w:val="22"/>
          <w:szCs w:val="22"/>
          <w:rtl w:val="0"/>
          <w:lang w:val="pt-PT"/>
        </w:rPr>
        <w:t xml:space="preserve">32) </w:t>
        <w:tab/>
        <w:tab/>
        <w:t xml:space="preserve">for </w:t>
      </w:r>
      <w:r>
        <w:rPr>
          <w:rFonts w:ascii="Symbol" w:hAnsi="Symbol" w:hint="default"/>
          <w:sz w:val="22"/>
          <w:szCs w:val="22"/>
          <w:rtl w:val="0"/>
        </w:rPr>
        <w:t>f</w:t>
      </w:r>
      <w:r>
        <w:rPr>
          <w:sz w:val="22"/>
          <w:szCs w:val="22"/>
          <w:vertAlign w:val="subscript"/>
          <w:rtl w:val="0"/>
          <w:lang w:val="pt-PT"/>
        </w:rPr>
        <w:t>ps</w:t>
      </w:r>
      <w:r>
        <w:rPr>
          <w:sz w:val="22"/>
          <w:szCs w:val="22"/>
          <w:rtl w:val="0"/>
          <w:lang w:val="pt-PT"/>
        </w:rPr>
        <w:t xml:space="preserve"> &gt; 32</w:t>
      </w:r>
      <w:r>
        <w:rPr>
          <w:sz w:val="22"/>
          <w:szCs w:val="22"/>
          <w:vertAlign w:val="superscript"/>
          <w:rtl w:val="0"/>
          <w:lang w:val="pt-PT"/>
        </w:rPr>
        <w:t>o</w:t>
      </w:r>
    </w:p>
    <w:p>
      <w:pPr>
        <w:pStyle w:val="Body"/>
        <w:rPr>
          <w:sz w:val="22"/>
          <w:szCs w:val="22"/>
          <w:lang w:val="pt-PT"/>
        </w:rPr>
      </w:pPr>
    </w:p>
    <w:p>
      <w:pPr>
        <w:pStyle w:val="Body"/>
        <w:rPr>
          <w:sz w:val="22"/>
          <w:szCs w:val="22"/>
        </w:rPr>
      </w:pPr>
      <w:r>
        <w:rPr>
          <w:sz w:val="22"/>
          <w:szCs w:val="22"/>
          <w:rtl w:val="0"/>
          <w:lang w:val="en-US"/>
        </w:rPr>
        <w:t>For cohesive soil, Marchetti (1980) presented the below correlation for undrained shear strength:</w:t>
      </w:r>
    </w:p>
    <w:p>
      <w:pPr>
        <w:pStyle w:val="Body"/>
        <w:rPr>
          <w:sz w:val="22"/>
          <w:szCs w:val="22"/>
        </w:rPr>
      </w:pPr>
    </w:p>
    <w:p>
      <w:pPr>
        <w:pStyle w:val="Body"/>
        <w:rPr>
          <w:sz w:val="22"/>
          <w:szCs w:val="22"/>
        </w:rPr>
      </w:pPr>
      <w:r>
        <w:rPr>
          <w:sz w:val="22"/>
          <w:szCs w:val="22"/>
          <w:rtl w:val="0"/>
        </w:rPr>
        <w:tab/>
        <w:t>S</w:t>
      </w:r>
      <w:r>
        <w:rPr>
          <w:sz w:val="22"/>
          <w:szCs w:val="22"/>
          <w:vertAlign w:val="subscript"/>
          <w:rtl w:val="0"/>
        </w:rPr>
        <w:t>u</w:t>
      </w:r>
      <w:r>
        <w:rPr>
          <w:sz w:val="22"/>
          <w:szCs w:val="22"/>
          <w:rtl w:val="0"/>
        </w:rPr>
        <w:t xml:space="preserve"> = 0.22 * </w:t>
      </w:r>
      <w:r>
        <w:rPr>
          <w:rFonts w:ascii="Symbol" w:hAnsi="Symbol" w:hint="default"/>
          <w:sz w:val="22"/>
          <w:szCs w:val="22"/>
          <w:rtl w:val="0"/>
        </w:rPr>
        <w:t>s</w:t>
      </w:r>
      <w:r>
        <w:rPr>
          <w:sz w:val="22"/>
          <w:szCs w:val="22"/>
          <w:vertAlign w:val="subscript"/>
          <w:rtl w:val="0"/>
        </w:rPr>
        <w:t>vo</w:t>
      </w:r>
      <w:r>
        <w:rPr>
          <w:sz w:val="22"/>
          <w:szCs w:val="22"/>
          <w:rtl w:val="1"/>
        </w:rPr>
        <w:t xml:space="preserve">’ </w:t>
      </w:r>
      <w:r>
        <w:rPr>
          <w:sz w:val="22"/>
          <w:szCs w:val="22"/>
          <w:rtl w:val="0"/>
        </w:rPr>
        <w:t>* (0.5 * K</w:t>
      </w:r>
      <w:r>
        <w:rPr>
          <w:sz w:val="22"/>
          <w:szCs w:val="22"/>
          <w:vertAlign w:val="subscript"/>
          <w:rtl w:val="0"/>
        </w:rPr>
        <w:t>D</w:t>
      </w:r>
      <w:r>
        <w:rPr>
          <w:sz w:val="22"/>
          <w:szCs w:val="22"/>
          <w:rtl w:val="0"/>
        </w:rPr>
        <w:t>)</w:t>
      </w:r>
      <w:r>
        <w:rPr>
          <w:sz w:val="22"/>
          <w:szCs w:val="22"/>
          <w:vertAlign w:val="superscript"/>
          <w:rtl w:val="0"/>
        </w:rPr>
        <w:t>1.25</w:t>
      </w:r>
    </w:p>
    <w:p>
      <w:pPr>
        <w:pStyle w:val="Body"/>
        <w:rPr>
          <w:sz w:val="22"/>
          <w:szCs w:val="22"/>
        </w:rPr>
      </w:pPr>
    </w:p>
    <w:p>
      <w:pPr>
        <w:pStyle w:val="Body"/>
        <w:rPr>
          <w:sz w:val="22"/>
          <w:szCs w:val="22"/>
        </w:rPr>
      </w:pPr>
      <w:r>
        <w:rPr>
          <w:outline w:val="0"/>
          <w:color w:val="0000ff"/>
          <w:sz w:val="22"/>
          <w:szCs w:val="22"/>
          <w:u w:color="0000ff"/>
          <w:rtl w:val="0"/>
          <w14:textFill>
            <w14:solidFill>
              <w14:srgbClr w14:val="0000FF"/>
            </w14:solidFill>
          </w14:textFill>
        </w:rPr>
        <w:t xml:space="preserve">Lutenegger (2006) </w:t>
      </w:r>
      <w:r>
        <w:rPr>
          <w:sz w:val="22"/>
          <w:szCs w:val="22"/>
          <w:rtl w:val="0"/>
          <w:lang w:val="en-US"/>
        </w:rPr>
        <w:t xml:space="preserve">presented the following correlation for undrained shear strength based on a cavity expansion model using the </w:t>
      </w:r>
      <w:r>
        <w:rPr>
          <w:sz w:val="22"/>
          <w:szCs w:val="22"/>
          <w:rtl w:val="1"/>
          <w:lang w:val="ar-SA" w:bidi="ar-SA"/>
        </w:rPr>
        <w:t>“</w:t>
      </w:r>
      <w:r>
        <w:rPr>
          <w:sz w:val="22"/>
          <w:szCs w:val="22"/>
          <w:rtl w:val="0"/>
        </w:rPr>
        <w:t>P</w:t>
      </w:r>
      <w:r>
        <w:rPr>
          <w:sz w:val="22"/>
          <w:szCs w:val="22"/>
          <w:vertAlign w:val="subscript"/>
          <w:rtl w:val="0"/>
        </w:rPr>
        <w:t>0</w:t>
      </w:r>
      <w:r>
        <w:rPr>
          <w:sz w:val="22"/>
          <w:szCs w:val="22"/>
          <w:rtl w:val="0"/>
        </w:rPr>
        <w:t xml:space="preserve">” </w:t>
      </w:r>
      <w:r>
        <w:rPr>
          <w:sz w:val="22"/>
          <w:szCs w:val="22"/>
          <w:rtl w:val="0"/>
          <w:lang w:val="en-US"/>
        </w:rPr>
        <w:t xml:space="preserve">and </w:t>
      </w:r>
      <w:r>
        <w:rPr>
          <w:sz w:val="22"/>
          <w:szCs w:val="22"/>
          <w:rtl w:val="1"/>
          <w:lang w:val="ar-SA" w:bidi="ar-SA"/>
        </w:rPr>
        <w:t>“</w:t>
      </w:r>
      <w:r>
        <w:rPr>
          <w:sz w:val="22"/>
          <w:szCs w:val="22"/>
          <w:rtl w:val="0"/>
        </w:rPr>
        <w:t>P</w:t>
      </w:r>
      <w:r>
        <w:rPr>
          <w:sz w:val="22"/>
          <w:szCs w:val="22"/>
          <w:vertAlign w:val="subscript"/>
          <w:rtl w:val="0"/>
        </w:rPr>
        <w:t>2</w:t>
      </w:r>
      <w:r>
        <w:rPr>
          <w:sz w:val="22"/>
          <w:szCs w:val="22"/>
          <w:rtl w:val="0"/>
        </w:rPr>
        <w:t xml:space="preserve">” </w:t>
      </w:r>
      <w:r>
        <w:rPr>
          <w:sz w:val="22"/>
          <w:szCs w:val="22"/>
          <w:rtl w:val="0"/>
          <w:lang w:val="en-US"/>
        </w:rPr>
        <w:t>readings:</w:t>
      </w:r>
    </w:p>
    <w:p>
      <w:pPr>
        <w:pStyle w:val="Body"/>
        <w:rPr>
          <w:sz w:val="22"/>
          <w:szCs w:val="22"/>
        </w:rPr>
      </w:pPr>
    </w:p>
    <w:p>
      <w:pPr>
        <w:pStyle w:val="Body"/>
        <w:rPr>
          <w:sz w:val="22"/>
          <w:szCs w:val="22"/>
        </w:rPr>
      </w:pPr>
      <w:r>
        <w:rPr>
          <w:sz w:val="22"/>
          <w:szCs w:val="22"/>
          <w:rtl w:val="0"/>
        </w:rPr>
        <w:tab/>
        <w:t>S</w:t>
      </w:r>
      <w:r>
        <w:rPr>
          <w:sz w:val="22"/>
          <w:szCs w:val="22"/>
          <w:vertAlign w:val="subscript"/>
          <w:rtl w:val="0"/>
        </w:rPr>
        <w:t>u</w:t>
      </w:r>
      <w:r>
        <w:rPr>
          <w:sz w:val="22"/>
          <w:szCs w:val="22"/>
          <w:rtl w:val="0"/>
        </w:rPr>
        <w:t xml:space="preserve"> = (P</w:t>
      </w:r>
      <w:r>
        <w:rPr>
          <w:sz w:val="22"/>
          <w:szCs w:val="22"/>
          <w:vertAlign w:val="subscript"/>
          <w:rtl w:val="0"/>
        </w:rPr>
        <w:t>0</w:t>
      </w:r>
      <w:r>
        <w:rPr>
          <w:sz w:val="22"/>
          <w:szCs w:val="22"/>
          <w:rtl w:val="0"/>
          <w:lang w:val="ru-RU"/>
        </w:rPr>
        <w:t xml:space="preserve"> - P</w:t>
      </w:r>
      <w:r>
        <w:rPr>
          <w:sz w:val="22"/>
          <w:szCs w:val="22"/>
          <w:vertAlign w:val="subscript"/>
          <w:rtl w:val="0"/>
        </w:rPr>
        <w:t>2</w:t>
      </w:r>
      <w:r>
        <w:rPr>
          <w:sz w:val="22"/>
          <w:szCs w:val="22"/>
          <w:rtl w:val="0"/>
          <w:lang w:val="pt-PT"/>
        </w:rPr>
        <w:t>)/2.65</w:t>
      </w:r>
    </w:p>
    <w:p>
      <w:pPr>
        <w:pStyle w:val="Body"/>
        <w:rPr>
          <w:sz w:val="22"/>
          <w:szCs w:val="22"/>
        </w:rPr>
      </w:pPr>
    </w:p>
    <w:p>
      <w:pPr>
        <w:pStyle w:val="Body"/>
        <w:rPr>
          <w:sz w:val="22"/>
          <w:szCs w:val="22"/>
        </w:rPr>
      </w:pPr>
      <w:r>
        <w:rPr>
          <w:sz w:val="22"/>
          <w:szCs w:val="22"/>
          <w:rtl w:val="0"/>
          <w:lang w:val="en-US"/>
        </w:rPr>
        <w:t>Our experience shows that the Marchetti and Lutenegger methods agree well with each other.  Marchetti</w:t>
      </w:r>
      <w:r>
        <w:rPr>
          <w:sz w:val="22"/>
          <w:szCs w:val="22"/>
          <w:rtl w:val="1"/>
        </w:rPr>
        <w:t>’</w:t>
      </w:r>
      <w:r>
        <w:rPr>
          <w:sz w:val="22"/>
          <w:szCs w:val="22"/>
          <w:rtl w:val="0"/>
          <w:lang w:val="en-US"/>
        </w:rPr>
        <w:t>s correlation provides an average value when compared to other types of tests as shown below at sites worldwide (Figures 20a-f):</w:t>
      </w:r>
    </w:p>
    <w:p>
      <w:pPr>
        <w:pStyle w:val="Body"/>
        <w:rPr>
          <w:sz w:val="22"/>
          <w:szCs w:val="22"/>
        </w:rPr>
      </w:pPr>
    </w:p>
    <w:p>
      <w:pPr>
        <w:pStyle w:val="Body"/>
        <w:rPr>
          <w:sz w:val="22"/>
          <w:szCs w:val="22"/>
        </w:rPr>
      </w:pPr>
      <w:r>
        <w:rPr>
          <w:sz w:val="22"/>
          <w:szCs w:val="22"/>
        </w:rPr>
        <w:drawing xmlns:a="http://schemas.openxmlformats.org/drawingml/2006/main">
          <wp:inline distT="0" distB="0" distL="0" distR="0">
            <wp:extent cx="2857500" cy="4898572"/>
            <wp:effectExtent l="0" t="0" r="0" b="0"/>
            <wp:docPr id="1073741848" name="officeArt object" descr="Picture 10"/>
            <wp:cNvGraphicFramePr/>
            <a:graphic xmlns:a="http://schemas.openxmlformats.org/drawingml/2006/main">
              <a:graphicData uri="http://schemas.openxmlformats.org/drawingml/2006/picture">
                <pic:pic xmlns:pic="http://schemas.openxmlformats.org/drawingml/2006/picture">
                  <pic:nvPicPr>
                    <pic:cNvPr id="1073741848" name="Picture 10" descr="Picture 10"/>
                    <pic:cNvPicPr>
                      <a:picLocks noChangeAspect="1"/>
                    </pic:cNvPicPr>
                  </pic:nvPicPr>
                  <pic:blipFill>
                    <a:blip r:embed="rId27">
                      <a:extLst/>
                    </a:blip>
                    <a:stretch>
                      <a:fillRect/>
                    </a:stretch>
                  </pic:blipFill>
                  <pic:spPr>
                    <a:xfrm>
                      <a:off x="0" y="0"/>
                      <a:ext cx="2857500" cy="4898572"/>
                    </a:xfrm>
                    <a:prstGeom prst="rect">
                      <a:avLst/>
                    </a:prstGeom>
                    <a:ln w="12700" cap="flat">
                      <a:noFill/>
                      <a:miter lim="400000"/>
                    </a:ln>
                    <a:effectLst/>
                  </pic:spPr>
                </pic:pic>
              </a:graphicData>
            </a:graphic>
          </wp:inline>
        </w:drawing>
      </w:r>
      <w:r>
        <w:rPr>
          <w:sz w:val="22"/>
          <w:szCs w:val="22"/>
        </w:rPr>
        <w:drawing xmlns:a="http://schemas.openxmlformats.org/drawingml/2006/main">
          <wp:inline distT="0" distB="0" distL="0" distR="0">
            <wp:extent cx="2943225" cy="3695700"/>
            <wp:effectExtent l="0" t="0" r="0" b="0"/>
            <wp:docPr id="1073741849" name="officeArt object" descr="Picture 9"/>
            <wp:cNvGraphicFramePr/>
            <a:graphic xmlns:a="http://schemas.openxmlformats.org/drawingml/2006/main">
              <a:graphicData uri="http://schemas.openxmlformats.org/drawingml/2006/picture">
                <pic:pic xmlns:pic="http://schemas.openxmlformats.org/drawingml/2006/picture">
                  <pic:nvPicPr>
                    <pic:cNvPr id="1073741849" name="Picture 9" descr="Picture 9"/>
                    <pic:cNvPicPr>
                      <a:picLocks noChangeAspect="1"/>
                    </pic:cNvPicPr>
                  </pic:nvPicPr>
                  <pic:blipFill>
                    <a:blip r:embed="rId28">
                      <a:extLst/>
                    </a:blip>
                    <a:stretch>
                      <a:fillRect/>
                    </a:stretch>
                  </pic:blipFill>
                  <pic:spPr>
                    <a:xfrm>
                      <a:off x="0" y="0"/>
                      <a:ext cx="2943225" cy="3695700"/>
                    </a:xfrm>
                    <a:prstGeom prst="rect">
                      <a:avLst/>
                    </a:prstGeom>
                    <a:ln w="12700" cap="flat">
                      <a:noFill/>
                      <a:miter lim="400000"/>
                    </a:ln>
                    <a:effectLst/>
                  </pic:spPr>
                </pic:pic>
              </a:graphicData>
            </a:graphic>
          </wp:inline>
        </w:drawing>
      </w:r>
    </w:p>
    <w:p>
      <w:pPr>
        <w:pStyle w:val="Body"/>
        <w:rPr>
          <w:sz w:val="22"/>
          <w:szCs w:val="22"/>
        </w:rPr>
      </w:pPr>
    </w:p>
    <w:p>
      <w:pPr>
        <w:pStyle w:val="Body"/>
        <w:rPr>
          <w:sz w:val="22"/>
          <w:szCs w:val="22"/>
        </w:rPr>
      </w:pPr>
      <w:r>
        <w:rPr>
          <w:sz w:val="22"/>
          <w:szCs w:val="22"/>
        </w:rPr>
        <w:drawing xmlns:a="http://schemas.openxmlformats.org/drawingml/2006/main">
          <wp:inline distT="0" distB="0" distL="0" distR="0">
            <wp:extent cx="2571750" cy="3400425"/>
            <wp:effectExtent l="0" t="0" r="0" b="0"/>
            <wp:docPr id="1073741850" name="officeArt object" descr="Picture 8"/>
            <wp:cNvGraphicFramePr/>
            <a:graphic xmlns:a="http://schemas.openxmlformats.org/drawingml/2006/main">
              <a:graphicData uri="http://schemas.openxmlformats.org/drawingml/2006/picture">
                <pic:pic xmlns:pic="http://schemas.openxmlformats.org/drawingml/2006/picture">
                  <pic:nvPicPr>
                    <pic:cNvPr id="1073741850" name="Picture 8" descr="Picture 8"/>
                    <pic:cNvPicPr>
                      <a:picLocks noChangeAspect="1"/>
                    </pic:cNvPicPr>
                  </pic:nvPicPr>
                  <pic:blipFill>
                    <a:blip r:embed="rId29">
                      <a:extLst/>
                    </a:blip>
                    <a:stretch>
                      <a:fillRect/>
                    </a:stretch>
                  </pic:blipFill>
                  <pic:spPr>
                    <a:xfrm>
                      <a:off x="0" y="0"/>
                      <a:ext cx="2571750" cy="3400425"/>
                    </a:xfrm>
                    <a:prstGeom prst="rect">
                      <a:avLst/>
                    </a:prstGeom>
                    <a:ln w="12700" cap="flat">
                      <a:noFill/>
                      <a:miter lim="400000"/>
                    </a:ln>
                    <a:effectLst/>
                  </pic:spPr>
                </pic:pic>
              </a:graphicData>
            </a:graphic>
          </wp:inline>
        </w:drawing>
      </w:r>
      <w:r>
        <w:rPr>
          <w:sz w:val="22"/>
          <w:szCs w:val="22"/>
        </w:rPr>
        <w:drawing xmlns:a="http://schemas.openxmlformats.org/drawingml/2006/main">
          <wp:inline distT="0" distB="0" distL="0" distR="0">
            <wp:extent cx="2476500" cy="3400425"/>
            <wp:effectExtent l="0" t="0" r="0" b="0"/>
            <wp:docPr id="1073741851" name="officeArt object" descr="Picture 7"/>
            <wp:cNvGraphicFramePr/>
            <a:graphic xmlns:a="http://schemas.openxmlformats.org/drawingml/2006/main">
              <a:graphicData uri="http://schemas.openxmlformats.org/drawingml/2006/picture">
                <pic:pic xmlns:pic="http://schemas.openxmlformats.org/drawingml/2006/picture">
                  <pic:nvPicPr>
                    <pic:cNvPr id="1073741851" name="Picture 7" descr="Picture 7"/>
                    <pic:cNvPicPr>
                      <a:picLocks noChangeAspect="1"/>
                    </pic:cNvPicPr>
                  </pic:nvPicPr>
                  <pic:blipFill>
                    <a:blip r:embed="rId30">
                      <a:extLst/>
                    </a:blip>
                    <a:stretch>
                      <a:fillRect/>
                    </a:stretch>
                  </pic:blipFill>
                  <pic:spPr>
                    <a:xfrm>
                      <a:off x="0" y="0"/>
                      <a:ext cx="2476500" cy="3400425"/>
                    </a:xfrm>
                    <a:prstGeom prst="rect">
                      <a:avLst/>
                    </a:prstGeom>
                    <a:ln w="12700" cap="flat">
                      <a:noFill/>
                      <a:miter lim="400000"/>
                    </a:ln>
                    <a:effectLst/>
                  </pic:spPr>
                </pic:pic>
              </a:graphicData>
            </a:graphic>
          </wp:inline>
        </w:drawing>
      </w:r>
    </w:p>
    <w:p>
      <w:pPr>
        <w:pStyle w:val="Body"/>
        <w:rPr>
          <w:sz w:val="22"/>
          <w:szCs w:val="22"/>
        </w:rPr>
      </w:pPr>
      <w:r>
        <w:rPr>
          <w:sz w:val="22"/>
          <w:szCs w:val="22"/>
        </w:rPr>
        <w:drawing xmlns:a="http://schemas.openxmlformats.org/drawingml/2006/main">
          <wp:inline distT="0" distB="0" distL="0" distR="0">
            <wp:extent cx="3019425" cy="3352800"/>
            <wp:effectExtent l="0" t="0" r="0" b="0"/>
            <wp:docPr id="1073741852" name="officeArt object" descr="Picture 6"/>
            <wp:cNvGraphicFramePr/>
            <a:graphic xmlns:a="http://schemas.openxmlformats.org/drawingml/2006/main">
              <a:graphicData uri="http://schemas.openxmlformats.org/drawingml/2006/picture">
                <pic:pic xmlns:pic="http://schemas.openxmlformats.org/drawingml/2006/picture">
                  <pic:nvPicPr>
                    <pic:cNvPr id="1073741852" name="Picture 6" descr="Picture 6"/>
                    <pic:cNvPicPr>
                      <a:picLocks noChangeAspect="1"/>
                    </pic:cNvPicPr>
                  </pic:nvPicPr>
                  <pic:blipFill>
                    <a:blip r:embed="rId31">
                      <a:extLst/>
                    </a:blip>
                    <a:stretch>
                      <a:fillRect/>
                    </a:stretch>
                  </pic:blipFill>
                  <pic:spPr>
                    <a:xfrm>
                      <a:off x="0" y="0"/>
                      <a:ext cx="3019425" cy="3352800"/>
                    </a:xfrm>
                    <a:prstGeom prst="rect">
                      <a:avLst/>
                    </a:prstGeom>
                    <a:ln w="12700" cap="flat">
                      <a:noFill/>
                      <a:miter lim="400000"/>
                    </a:ln>
                    <a:effectLst/>
                  </pic:spPr>
                </pic:pic>
              </a:graphicData>
            </a:graphic>
          </wp:inline>
        </w:drawing>
      </w:r>
      <w:r>
        <w:rPr>
          <w:sz w:val="22"/>
          <w:szCs w:val="22"/>
        </w:rPr>
        <w:drawing xmlns:a="http://schemas.openxmlformats.org/drawingml/2006/main">
          <wp:inline distT="0" distB="0" distL="0" distR="0">
            <wp:extent cx="2752725" cy="3352800"/>
            <wp:effectExtent l="0" t="0" r="0" b="0"/>
            <wp:docPr id="1073741853" name="officeArt object" descr="Picture 5"/>
            <wp:cNvGraphicFramePr/>
            <a:graphic xmlns:a="http://schemas.openxmlformats.org/drawingml/2006/main">
              <a:graphicData uri="http://schemas.openxmlformats.org/drawingml/2006/picture">
                <pic:pic xmlns:pic="http://schemas.openxmlformats.org/drawingml/2006/picture">
                  <pic:nvPicPr>
                    <pic:cNvPr id="1073741853" name="Picture 5" descr="Picture 5"/>
                    <pic:cNvPicPr>
                      <a:picLocks noChangeAspect="1"/>
                    </pic:cNvPicPr>
                  </pic:nvPicPr>
                  <pic:blipFill>
                    <a:blip r:embed="rId32">
                      <a:extLst/>
                    </a:blip>
                    <a:stretch>
                      <a:fillRect/>
                    </a:stretch>
                  </pic:blipFill>
                  <pic:spPr>
                    <a:xfrm>
                      <a:off x="0" y="0"/>
                      <a:ext cx="2752725" cy="3352800"/>
                    </a:xfrm>
                    <a:prstGeom prst="rect">
                      <a:avLst/>
                    </a:prstGeom>
                    <a:ln w="12700" cap="flat">
                      <a:noFill/>
                      <a:miter lim="400000"/>
                    </a:ln>
                    <a:effectLst/>
                  </pic:spPr>
                </pic:pic>
              </a:graphicData>
            </a:graphic>
          </wp:inline>
        </w:drawing>
      </w:r>
    </w:p>
    <w:p>
      <w:pPr>
        <w:pStyle w:val="Body"/>
        <w:rPr>
          <w:sz w:val="22"/>
          <w:szCs w:val="22"/>
        </w:rPr>
      </w:pPr>
    </w:p>
    <w:p>
      <w:pPr>
        <w:pStyle w:val="Body"/>
        <w:rPr>
          <w:sz w:val="22"/>
          <w:szCs w:val="22"/>
        </w:rPr>
      </w:pPr>
      <w:r>
        <w:rPr>
          <w:sz w:val="22"/>
          <w:szCs w:val="22"/>
          <w:rtl w:val="0"/>
          <w:lang w:val="en-US"/>
        </w:rPr>
        <w:t>Figures 20a-f: Marchetti Undrained Strength Comparisons from Sites Worldwide</w:t>
      </w:r>
    </w:p>
    <w:p>
      <w:pPr>
        <w:pStyle w:val="Body"/>
        <w:rPr>
          <w:sz w:val="22"/>
          <w:szCs w:val="22"/>
        </w:rPr>
      </w:pPr>
    </w:p>
    <w:p>
      <w:pPr>
        <w:pStyle w:val="Body"/>
        <w:rPr>
          <w:sz w:val="22"/>
          <w:szCs w:val="22"/>
        </w:rPr>
      </w:pPr>
    </w:p>
    <w:p>
      <w:pPr>
        <w:pStyle w:val="Body"/>
        <w:rPr>
          <w:sz w:val="22"/>
          <w:szCs w:val="22"/>
        </w:rPr>
      </w:pPr>
    </w:p>
    <w:p>
      <w:pPr>
        <w:pStyle w:val="Body"/>
        <w:rPr>
          <w:sz w:val="22"/>
          <w:szCs w:val="22"/>
        </w:rPr>
      </w:pPr>
    </w:p>
    <w:p>
      <w:pPr>
        <w:pStyle w:val="Body"/>
        <w:rPr>
          <w:sz w:val="22"/>
          <w:szCs w:val="22"/>
        </w:rPr>
      </w:pPr>
    </w:p>
    <w:p>
      <w:pPr>
        <w:pStyle w:val="Body"/>
        <w:rPr>
          <w:sz w:val="22"/>
          <w:szCs w:val="22"/>
        </w:rPr>
      </w:pPr>
      <w:r>
        <w:drawing xmlns:a="http://schemas.openxmlformats.org/drawingml/2006/main">
          <wp:anchor distT="57150" distB="57150" distL="57150" distR="57150" simplePos="0" relativeHeight="251668480" behindDoc="0" locked="0" layoutInCell="1" allowOverlap="1">
            <wp:simplePos x="0" y="0"/>
            <wp:positionH relativeFrom="column">
              <wp:posOffset>3930650</wp:posOffset>
            </wp:positionH>
            <wp:positionV relativeFrom="line">
              <wp:posOffset>0</wp:posOffset>
            </wp:positionV>
            <wp:extent cx="2324736" cy="2457450"/>
            <wp:effectExtent l="0" t="0" r="0" b="0"/>
            <wp:wrapSquare wrapText="bothSides" distL="57150" distR="57150" distT="57150" distB="57150"/>
            <wp:docPr id="1073741854" name="officeArt object" descr="Picture 56"/>
            <wp:cNvGraphicFramePr/>
            <a:graphic xmlns:a="http://schemas.openxmlformats.org/drawingml/2006/main">
              <a:graphicData uri="http://schemas.openxmlformats.org/drawingml/2006/picture">
                <pic:pic xmlns:pic="http://schemas.openxmlformats.org/drawingml/2006/picture">
                  <pic:nvPicPr>
                    <pic:cNvPr id="1073741854" name="Picture 56" descr="Picture 56"/>
                    <pic:cNvPicPr>
                      <a:picLocks noChangeAspect="1"/>
                    </pic:cNvPicPr>
                  </pic:nvPicPr>
                  <pic:blipFill>
                    <a:blip r:embed="rId33">
                      <a:extLst/>
                    </a:blip>
                    <a:stretch>
                      <a:fillRect/>
                    </a:stretch>
                  </pic:blipFill>
                  <pic:spPr>
                    <a:xfrm>
                      <a:off x="0" y="0"/>
                      <a:ext cx="2324736" cy="2457450"/>
                    </a:xfrm>
                    <a:prstGeom prst="rect">
                      <a:avLst/>
                    </a:prstGeom>
                    <a:ln w="12700" cap="flat">
                      <a:noFill/>
                      <a:miter lim="400000"/>
                    </a:ln>
                    <a:effectLst/>
                  </pic:spPr>
                </pic:pic>
              </a:graphicData>
            </a:graphic>
          </wp:anchor>
        </w:drawing>
      </w:r>
      <w:r>
        <w:rPr>
          <w:sz w:val="22"/>
          <w:szCs w:val="22"/>
          <w:rtl w:val="0"/>
          <w:lang w:val="en-US"/>
        </w:rPr>
        <w:t>For very soft clays in settling ponds for phosphate spoils in Florida, Bloomquist found the undrained shear strength from DMT compared quite well with vane shear tests as shown right (Figure 21).</w:t>
      </w:r>
    </w:p>
    <w:p>
      <w:pPr>
        <w:pStyle w:val="Body"/>
      </w:pPr>
    </w:p>
    <w:p>
      <w:pPr>
        <w:pStyle w:val="Body"/>
        <w:rPr>
          <w:sz w:val="22"/>
          <w:szCs w:val="22"/>
        </w:rPr>
      </w:pPr>
      <w:r>
        <w:rPr>
          <w:sz w:val="22"/>
          <w:szCs w:val="22"/>
        </w:rPr>
        <mc:AlternateContent>
          <mc:Choice Requires="wps">
            <w:drawing xmlns:a="http://schemas.openxmlformats.org/drawingml/2006/main">
              <wp:anchor distT="80010" distB="80010" distL="80010" distR="80010" simplePos="0" relativeHeight="251669504" behindDoc="0" locked="0" layoutInCell="1" allowOverlap="1">
                <wp:simplePos x="0" y="0"/>
                <wp:positionH relativeFrom="page">
                  <wp:posOffset>1088389</wp:posOffset>
                </wp:positionH>
                <wp:positionV relativeFrom="line">
                  <wp:posOffset>1649095</wp:posOffset>
                </wp:positionV>
                <wp:extent cx="5979796" cy="273705"/>
                <wp:effectExtent l="0" t="0" r="0" b="0"/>
                <wp:wrapSquare wrapText="bothSides" distL="80010" distR="80010" distT="80010" distB="80010"/>
                <wp:docPr id="1073741855" name="officeArt object" descr="Text Box 2"/>
                <wp:cNvGraphicFramePr/>
                <a:graphic xmlns:a="http://schemas.openxmlformats.org/drawingml/2006/main">
                  <a:graphicData uri="http://schemas.microsoft.com/office/word/2010/wordprocessingShape">
                    <wps:wsp>
                      <wps:cNvSpPr txBox="1"/>
                      <wps:spPr>
                        <a:xfrm>
                          <a:off x="0" y="0"/>
                          <a:ext cx="5979796" cy="273705"/>
                        </a:xfrm>
                        <a:prstGeom prst="rect">
                          <a:avLst/>
                        </a:prstGeom>
                        <a:solidFill>
                          <a:srgbClr val="FFFFFF"/>
                        </a:solidFill>
                        <a:ln w="9525" cap="flat">
                          <a:solidFill>
                            <a:srgbClr val="000000"/>
                          </a:solidFill>
                          <a:prstDash val="solid"/>
                          <a:miter lim="800000"/>
                        </a:ln>
                        <a:effectLst/>
                      </wps:spPr>
                      <wps:txbx>
                        <w:txbxContent>
                          <w:p>
                            <w:pPr>
                              <w:pStyle w:val="Body"/>
                            </w:pPr>
                            <w:r>
                              <w:rPr>
                                <w:rtl w:val="0"/>
                                <w:lang w:val="en-US"/>
                              </w:rPr>
                              <w:t>Figure 21: Comparison of undrained shear strength between DMT and VST in very soft clays</w:t>
                            </w:r>
                          </w:p>
                        </w:txbxContent>
                      </wps:txbx>
                      <wps:bodyPr wrap="square" lIns="45719" tIns="45719" rIns="45719" bIns="45719" numCol="1" anchor="t">
                        <a:noAutofit/>
                      </wps:bodyPr>
                    </wps:wsp>
                  </a:graphicData>
                </a:graphic>
              </wp:anchor>
            </w:drawing>
          </mc:Choice>
          <mc:Fallback>
            <w:pict>
              <v:shape id="_x0000_s1026" type="#_x0000_t202" style="visibility:visible;position:absolute;margin-left:85.7pt;margin-top:129.9pt;width:470.9pt;height:21.6pt;z-index:251669504;mso-position-horizontal:absolute;mso-position-horizontal-relative:page;mso-position-vertical:absolute;mso-position-vertical-relative:line;mso-wrap-distance-left:6.3pt;mso-wrap-distance-top:6.3pt;mso-wrap-distance-right:6.3pt;mso-wrap-distance-bottom:6.3pt;">
                <v:fill color="#FFFFFF" opacity="100.0%" type="solid"/>
                <v:stroke filltype="solid" color="#000000" opacity="100.0%" weight="0.8pt" dashstyle="solid" endcap="flat" miterlimit="800.0%" joinstyle="miter" linestyle="single" startarrow="none" startarrowwidth="medium" startarrowlength="medium" endarrow="none" endarrowwidth="medium" endarrowlength="medium"/>
                <v:textbox>
                  <w:txbxContent>
                    <w:p>
                      <w:pPr>
                        <w:pStyle w:val="Body"/>
                      </w:pPr>
                      <w:r>
                        <w:rPr>
                          <w:rtl w:val="0"/>
                          <w:lang w:val="en-US"/>
                        </w:rPr>
                        <w:t>Figure 21: Comparison of undrained shear strength between DMT and VST in very soft clays</w:t>
                      </w:r>
                    </w:p>
                  </w:txbxContent>
                </v:textbox>
                <w10:wrap type="square" side="bothSides" anchorx="page"/>
              </v:shape>
            </w:pict>
          </mc:Fallback>
        </mc:AlternateContent>
      </w:r>
      <w:r>
        <w:rPr>
          <w:sz w:val="22"/>
          <w:szCs w:val="22"/>
          <w:rtl w:val="0"/>
          <w:lang w:val="en-US"/>
        </w:rPr>
        <w:t>Soils with an I</w:t>
      </w:r>
      <w:r>
        <w:rPr>
          <w:sz w:val="22"/>
          <w:szCs w:val="22"/>
          <w:vertAlign w:val="subscript"/>
          <w:rtl w:val="0"/>
        </w:rPr>
        <w:t>D</w:t>
      </w:r>
      <w:r>
        <w:rPr>
          <w:sz w:val="22"/>
          <w:szCs w:val="22"/>
          <w:rtl w:val="0"/>
          <w:lang w:val="en-US"/>
        </w:rPr>
        <w:t xml:space="preserve"> &gt; 0.6 and &lt; 1.2 test as partially drained soil, and do not fit into the cohesive or cohesionless categories for shear strength interpretation.  Soil samples can provide the engineer with interpretation guidance.  Sometimes, highly over-consolidated clay can have an I</w:t>
      </w:r>
      <w:r>
        <w:rPr>
          <w:sz w:val="22"/>
          <w:szCs w:val="22"/>
          <w:vertAlign w:val="subscript"/>
          <w:rtl w:val="0"/>
        </w:rPr>
        <w:t>D</w:t>
      </w:r>
      <w:r>
        <w:rPr>
          <w:sz w:val="22"/>
          <w:szCs w:val="22"/>
          <w:rtl w:val="0"/>
          <w:lang w:val="en-US"/>
        </w:rPr>
        <w:t xml:space="preserve"> between 0.6 and 0.9 and undrained shear strength correlations make good predictions.  Sometimes, sandy residual soil with mica can have an I</w:t>
      </w:r>
      <w:r>
        <w:rPr>
          <w:sz w:val="22"/>
          <w:szCs w:val="22"/>
          <w:vertAlign w:val="subscript"/>
          <w:rtl w:val="0"/>
        </w:rPr>
        <w:t>D</w:t>
      </w:r>
      <w:r>
        <w:rPr>
          <w:sz w:val="22"/>
          <w:szCs w:val="22"/>
          <w:rtl w:val="0"/>
          <w:lang w:val="en-US"/>
        </w:rPr>
        <w:t xml:space="preserve"> between 0.9 and 1.2 and the drained angle of internal friction correlations make good predictions. </w:t>
      </w:r>
    </w:p>
    <w:p>
      <w:pPr>
        <w:pStyle w:val="Body"/>
      </w:pPr>
    </w:p>
    <w:p>
      <w:pPr>
        <w:pStyle w:val="Body"/>
      </w:pPr>
      <w:r>
        <w:rPr>
          <w:b w:val="1"/>
          <w:bCs w:val="1"/>
          <w:rtl w:val="0"/>
          <w:lang w:val="en-US"/>
        </w:rPr>
        <w:t>Lateral Earth Pressure at Rest Coefficient, k</w:t>
      </w:r>
      <w:r>
        <w:rPr>
          <w:b w:val="1"/>
          <w:bCs w:val="1"/>
          <w:vertAlign w:val="subscript"/>
          <w:rtl w:val="0"/>
        </w:rPr>
        <w:t>o</w:t>
      </w:r>
      <w:r>
        <w:rPr>
          <w:b w:val="1"/>
          <w:bCs w:val="1"/>
          <w:rtl w:val="0"/>
        </w:rPr>
        <w:t>:</w:t>
      </w:r>
      <w:r>
        <w:rPr>
          <w:rtl w:val="0"/>
          <w:lang w:val="en-US"/>
        </w:rPr>
        <w:t xml:space="preserve">  For clay and silt (I</w:t>
      </w:r>
      <w:r>
        <w:rPr>
          <w:vertAlign w:val="subscript"/>
          <w:rtl w:val="0"/>
        </w:rPr>
        <w:t>D</w:t>
      </w:r>
      <w:r>
        <w:rPr>
          <w:rtl w:val="0"/>
          <w:lang w:val="it-IT"/>
        </w:rPr>
        <w:t xml:space="preserve"> &lt; 1.2), Marchetti (1980) correlation predicts k</w:t>
      </w:r>
      <w:r>
        <w:rPr>
          <w:vertAlign w:val="subscript"/>
          <w:rtl w:val="0"/>
        </w:rPr>
        <w:t>o</w:t>
      </w:r>
      <w:r>
        <w:rPr>
          <w:rtl w:val="0"/>
          <w:lang w:val="en-US"/>
        </w:rPr>
        <w:t xml:space="preserve"> value reasonably well (Figure 24).  His formula follows:</w:t>
      </w:r>
    </w:p>
    <w:p>
      <w:pPr>
        <w:pStyle w:val="Body"/>
      </w:pPr>
    </w:p>
    <w:p>
      <w:pPr>
        <w:pStyle w:val="Body"/>
      </w:pPr>
      <w:r>
        <w:rPr>
          <w:rtl w:val="0"/>
        </w:rPr>
        <w:tab/>
        <w:t>k</w:t>
      </w:r>
      <w:r>
        <w:rPr>
          <w:vertAlign w:val="subscript"/>
          <w:rtl w:val="0"/>
        </w:rPr>
        <w:t>o</w:t>
      </w:r>
      <w:r>
        <w:rPr>
          <w:rtl w:val="0"/>
        </w:rPr>
        <w:t xml:space="preserve"> = (K</w:t>
      </w:r>
      <w:r>
        <w:rPr>
          <w:vertAlign w:val="subscript"/>
          <w:rtl w:val="0"/>
        </w:rPr>
        <w:t>D</w:t>
      </w:r>
      <w:r>
        <w:rPr>
          <w:rtl w:val="0"/>
        </w:rPr>
        <w:t>/1.5)</w:t>
      </w:r>
      <w:r>
        <w:rPr>
          <w:vertAlign w:val="superscript"/>
          <w:rtl w:val="0"/>
        </w:rPr>
        <w:t>0.47</w:t>
      </w:r>
      <w:r>
        <w:rPr>
          <w:rtl w:val="0"/>
        </w:rPr>
        <w:t xml:space="preserve"> – </w:t>
      </w:r>
      <w:r>
        <w:rPr>
          <w:rtl w:val="0"/>
        </w:rPr>
        <w:t>0.6</w:t>
        <w:tab/>
        <w:tab/>
        <w:tab/>
        <w:t>(I</w:t>
      </w:r>
      <w:r>
        <w:rPr>
          <w:vertAlign w:val="subscript"/>
          <w:rtl w:val="0"/>
        </w:rPr>
        <w:t>D</w:t>
      </w:r>
      <w:r>
        <w:rPr>
          <w:rtl w:val="0"/>
        </w:rPr>
        <w:t xml:space="preserve"> &lt; 1.2)</w:t>
      </w:r>
    </w:p>
    <w:p>
      <w:pPr>
        <w:pStyle w:val="Body"/>
      </w:pPr>
    </w:p>
    <w:p>
      <w:pPr>
        <w:pStyle w:val="Body"/>
      </w:pPr>
      <w:r>
        <w:rPr>
          <w:rtl w:val="0"/>
          <w:lang w:val="en-US"/>
        </w:rPr>
        <w:t>From large chamber testing of sand, Schmertmann (1983) found that Marchetti (1980) formula did not predict k</w:t>
      </w:r>
      <w:r>
        <w:rPr>
          <w:vertAlign w:val="subscript"/>
          <w:rtl w:val="0"/>
        </w:rPr>
        <w:t>o</w:t>
      </w:r>
      <w:r>
        <w:rPr>
          <w:rtl w:val="0"/>
          <w:lang w:val="en-US"/>
        </w:rPr>
        <w:t xml:space="preserve"> for sand and developed the below formula using both K</w:t>
      </w:r>
      <w:r>
        <w:rPr>
          <w:vertAlign w:val="subscript"/>
          <w:rtl w:val="0"/>
        </w:rPr>
        <w:t>D</w:t>
      </w:r>
      <w:r>
        <w:rPr>
          <w:rtl w:val="0"/>
          <w:lang w:val="en-US"/>
        </w:rPr>
        <w:t xml:space="preserve"> and </w:t>
      </w:r>
      <w:r>
        <w:rPr>
          <w:rFonts w:ascii="Symbol" w:hAnsi="Symbol" w:hint="default"/>
          <w:rtl w:val="0"/>
        </w:rPr>
        <w:t>f</w:t>
      </w:r>
      <w:r>
        <w:rPr>
          <w:rtl w:val="1"/>
        </w:rPr>
        <w:t>’</w:t>
      </w:r>
      <w:r>
        <w:rPr>
          <w:vertAlign w:val="subscript"/>
          <w:rtl w:val="0"/>
        </w:rPr>
        <w:t>ax</w:t>
      </w:r>
      <w:r>
        <w:rPr>
          <w:rtl w:val="0"/>
          <w:lang w:val="it-IT"/>
        </w:rPr>
        <w:t xml:space="preserve"> (Figure 25).</w:t>
      </w:r>
    </w:p>
    <w:p>
      <w:pPr>
        <w:pStyle w:val="Body"/>
      </w:pPr>
    </w:p>
    <w:p>
      <w:pPr>
        <w:pStyle w:val="Body"/>
        <w:ind w:firstLine="720"/>
      </w:pPr>
      <w:r>
        <w:rPr>
          <w:rtl w:val="0"/>
        </w:rPr>
        <w:t>k</w:t>
      </w:r>
      <w:r>
        <w:rPr>
          <w:vertAlign w:val="subscript"/>
          <w:rtl w:val="0"/>
        </w:rPr>
        <w:t>o</w:t>
      </w:r>
      <w:r>
        <w:rPr>
          <w:rtl w:val="0"/>
        </w:rPr>
        <w:t xml:space="preserve"> = </w:t>
      </w:r>
      <w:r>
        <w:rPr>
          <w:u w:val="single"/>
          <w:rtl w:val="0"/>
        </w:rPr>
        <w:t>40 + 23 K</w:t>
      </w:r>
      <w:r>
        <w:rPr>
          <w:u w:val="single"/>
          <w:vertAlign w:val="subscript"/>
          <w:rtl w:val="0"/>
        </w:rPr>
        <w:t>D</w:t>
      </w:r>
      <w:r>
        <w:rPr>
          <w:u w:val="single"/>
          <w:rtl w:val="0"/>
          <w:lang w:val="ru-RU"/>
        </w:rPr>
        <w:t xml:space="preserve"> -86K</w:t>
      </w:r>
      <w:r>
        <w:rPr>
          <w:u w:val="single"/>
          <w:vertAlign w:val="subscript"/>
          <w:rtl w:val="0"/>
        </w:rPr>
        <w:t>D</w:t>
      </w:r>
      <w:r>
        <w:rPr>
          <w:u w:val="single"/>
          <w:rtl w:val="0"/>
        </w:rPr>
        <w:t>(1-sin</w:t>
      </w:r>
      <w:r>
        <w:rPr>
          <w:rFonts w:ascii="Symbol" w:hAnsi="Symbol" w:hint="default"/>
          <w:u w:val="single"/>
          <w:rtl w:val="0"/>
        </w:rPr>
        <w:t>f</w:t>
      </w:r>
      <w:r>
        <w:rPr>
          <w:u w:val="single"/>
          <w:rtl w:val="1"/>
        </w:rPr>
        <w:t>’</w:t>
      </w:r>
      <w:r>
        <w:rPr>
          <w:u w:val="single"/>
          <w:vertAlign w:val="subscript"/>
          <w:rtl w:val="0"/>
        </w:rPr>
        <w:t>ax</w:t>
      </w:r>
      <w:r>
        <w:rPr>
          <w:u w:val="single"/>
          <w:rtl w:val="0"/>
        </w:rPr>
        <w:t>) + 152(1-sin</w:t>
      </w:r>
      <w:r>
        <w:rPr>
          <w:rFonts w:ascii="Symbol" w:hAnsi="Symbol" w:hint="default"/>
          <w:u w:val="single"/>
          <w:rtl w:val="0"/>
        </w:rPr>
        <w:t>f</w:t>
      </w:r>
      <w:r>
        <w:rPr>
          <w:u w:val="single"/>
          <w:rtl w:val="1"/>
        </w:rPr>
        <w:t>’</w:t>
      </w:r>
      <w:r>
        <w:rPr>
          <w:u w:val="single"/>
          <w:vertAlign w:val="subscript"/>
          <w:rtl w:val="0"/>
        </w:rPr>
        <w:t>ax</w:t>
      </w:r>
      <w:r>
        <w:rPr>
          <w:u w:val="single"/>
          <w:rtl w:val="0"/>
        </w:rPr>
        <w:t>) -717(1-sin</w:t>
      </w:r>
      <w:r>
        <w:rPr>
          <w:rFonts w:ascii="Symbol" w:hAnsi="Symbol" w:hint="default"/>
          <w:u w:val="single"/>
          <w:rtl w:val="0"/>
        </w:rPr>
        <w:t>f</w:t>
      </w:r>
      <w:r>
        <w:rPr>
          <w:u w:val="single"/>
          <w:rtl w:val="1"/>
        </w:rPr>
        <w:t>’</w:t>
      </w:r>
      <w:r>
        <w:rPr>
          <w:u w:val="single"/>
          <w:vertAlign w:val="subscript"/>
          <w:rtl w:val="0"/>
        </w:rPr>
        <w:t>ax</w:t>
      </w:r>
      <w:r>
        <w:rPr>
          <w:u w:val="single"/>
          <w:rtl w:val="0"/>
        </w:rPr>
        <w:t>)</w:t>
      </w:r>
      <w:r>
        <w:rPr>
          <w:u w:val="single"/>
          <w:vertAlign w:val="superscript"/>
          <w:rtl w:val="0"/>
        </w:rPr>
        <w:t>2</w:t>
      </w:r>
      <w:r>
        <w:rPr>
          <w:rtl w:val="0"/>
        </w:rPr>
        <w:tab/>
        <w:t>(I</w:t>
      </w:r>
      <w:r>
        <w:rPr>
          <w:vertAlign w:val="subscript"/>
          <w:rtl w:val="0"/>
        </w:rPr>
        <w:t>D</w:t>
      </w:r>
      <w:r>
        <w:rPr>
          <w:rtl w:val="0"/>
        </w:rPr>
        <w:t xml:space="preserve"> &gt; 1.2)</w:t>
      </w:r>
    </w:p>
    <w:p>
      <w:pPr>
        <w:pStyle w:val="Body"/>
      </w:pPr>
      <w:r>
        <w:rPr>
          <w:rtl w:val="0"/>
        </w:rPr>
        <w:tab/>
        <w:tab/>
        <w:tab/>
        <w:t xml:space="preserve">192 </w:t>
      </w:r>
      <w:r>
        <w:rPr>
          <w:rtl w:val="0"/>
        </w:rPr>
        <w:t xml:space="preserve">– </w:t>
      </w:r>
      <w:r>
        <w:rPr>
          <w:rtl w:val="0"/>
        </w:rPr>
        <w:t>717(1-sin</w:t>
      </w:r>
      <w:r>
        <w:rPr>
          <w:rFonts w:ascii="Symbol" w:hAnsi="Symbol" w:hint="default"/>
          <w:rtl w:val="0"/>
        </w:rPr>
        <w:t>f</w:t>
      </w:r>
      <w:r>
        <w:rPr>
          <w:rtl w:val="1"/>
        </w:rPr>
        <w:t>’</w:t>
      </w:r>
      <w:r>
        <w:rPr>
          <w:vertAlign w:val="subscript"/>
          <w:rtl w:val="0"/>
        </w:rPr>
        <w:t>ax</w:t>
      </w:r>
      <w:r>
        <w:rPr>
          <w:rtl w:val="0"/>
        </w:rPr>
        <w:t>)</w:t>
      </w:r>
    </w:p>
    <w:p>
      <w:pPr>
        <w:pStyle w:val="Body"/>
      </w:pPr>
      <w:r>
        <w:drawing xmlns:a="http://schemas.openxmlformats.org/drawingml/2006/main">
          <wp:inline distT="0" distB="0" distL="0" distR="0">
            <wp:extent cx="2713798" cy="1920240"/>
            <wp:effectExtent l="0" t="0" r="0" b="0"/>
            <wp:docPr id="1073741856" name="officeArt object" descr="Picture 13"/>
            <wp:cNvGraphicFramePr/>
            <a:graphic xmlns:a="http://schemas.openxmlformats.org/drawingml/2006/main">
              <a:graphicData uri="http://schemas.openxmlformats.org/drawingml/2006/picture">
                <pic:pic xmlns:pic="http://schemas.openxmlformats.org/drawingml/2006/picture">
                  <pic:nvPicPr>
                    <pic:cNvPr id="1073741856" name="Picture 13" descr="Picture 13"/>
                    <pic:cNvPicPr>
                      <a:picLocks noChangeAspect="1"/>
                    </pic:cNvPicPr>
                  </pic:nvPicPr>
                  <pic:blipFill>
                    <a:blip r:embed="rId34">
                      <a:extLst/>
                    </a:blip>
                    <a:stretch>
                      <a:fillRect/>
                    </a:stretch>
                  </pic:blipFill>
                  <pic:spPr>
                    <a:xfrm>
                      <a:off x="0" y="0"/>
                      <a:ext cx="2713798" cy="1920240"/>
                    </a:xfrm>
                    <a:prstGeom prst="rect">
                      <a:avLst/>
                    </a:prstGeom>
                    <a:ln w="12700" cap="flat">
                      <a:noFill/>
                      <a:miter lim="400000"/>
                    </a:ln>
                    <a:effectLst/>
                  </pic:spPr>
                </pic:pic>
              </a:graphicData>
            </a:graphic>
          </wp:inline>
        </w:drawing>
      </w:r>
      <w:r>
        <w:drawing xmlns:a="http://schemas.openxmlformats.org/drawingml/2006/main">
          <wp:inline distT="0" distB="0" distL="0" distR="0">
            <wp:extent cx="2925445" cy="3067970"/>
            <wp:effectExtent l="0" t="0" r="0" b="0"/>
            <wp:docPr id="1073741857" name="officeArt object" descr="Picture 15"/>
            <wp:cNvGraphicFramePr/>
            <a:graphic xmlns:a="http://schemas.openxmlformats.org/drawingml/2006/main">
              <a:graphicData uri="http://schemas.openxmlformats.org/drawingml/2006/picture">
                <pic:pic xmlns:pic="http://schemas.openxmlformats.org/drawingml/2006/picture">
                  <pic:nvPicPr>
                    <pic:cNvPr id="1073741857" name="Picture 15" descr="Picture 15"/>
                    <pic:cNvPicPr>
                      <a:picLocks noChangeAspect="1"/>
                    </pic:cNvPicPr>
                  </pic:nvPicPr>
                  <pic:blipFill>
                    <a:blip r:embed="rId35">
                      <a:extLst/>
                    </a:blip>
                    <a:stretch>
                      <a:fillRect/>
                    </a:stretch>
                  </pic:blipFill>
                  <pic:spPr>
                    <a:xfrm>
                      <a:off x="0" y="0"/>
                      <a:ext cx="2925445" cy="3067970"/>
                    </a:xfrm>
                    <a:prstGeom prst="rect">
                      <a:avLst/>
                    </a:prstGeom>
                    <a:ln w="12700" cap="flat">
                      <a:noFill/>
                      <a:miter lim="400000"/>
                    </a:ln>
                    <a:effectLst/>
                  </pic:spPr>
                </pic:pic>
              </a:graphicData>
            </a:graphic>
          </wp:inline>
        </w:drawing>
      </w:r>
    </w:p>
    <w:p>
      <w:pPr>
        <w:pStyle w:val="Body"/>
      </w:pPr>
      <w:r>
        <w:rPr>
          <w:rtl w:val="0"/>
          <w:lang w:val="it-IT"/>
        </w:rPr>
        <w:t>Figure 24: K</w:t>
      </w:r>
      <w:r>
        <w:rPr>
          <w:vertAlign w:val="subscript"/>
          <w:rtl w:val="0"/>
        </w:rPr>
        <w:t>D</w:t>
      </w:r>
      <w:r>
        <w:rPr>
          <w:rtl w:val="0"/>
          <w:lang w:val="en-US"/>
        </w:rPr>
        <w:t xml:space="preserve"> correlation with k</w:t>
      </w:r>
      <w:r>
        <w:rPr>
          <w:vertAlign w:val="subscript"/>
          <w:rtl w:val="0"/>
        </w:rPr>
        <w:t>o</w:t>
      </w:r>
      <w:r>
        <w:rPr>
          <w:rtl w:val="0"/>
        </w:rPr>
        <w:t xml:space="preserve"> for I</w:t>
      </w:r>
      <w:r>
        <w:rPr>
          <w:vertAlign w:val="subscript"/>
          <w:rtl w:val="0"/>
        </w:rPr>
        <w:t>D</w:t>
      </w:r>
      <w:r>
        <w:rPr>
          <w:rtl w:val="0"/>
          <w:lang w:val="de-DE"/>
        </w:rPr>
        <w:t xml:space="preserve"> &lt; 1.2    Figure 25: K</w:t>
      </w:r>
      <w:r>
        <w:rPr>
          <w:vertAlign w:val="subscript"/>
          <w:rtl w:val="0"/>
        </w:rPr>
        <w:t>D</w:t>
      </w:r>
      <w:r>
        <w:rPr>
          <w:rtl w:val="0"/>
          <w:lang w:val="en-US"/>
        </w:rPr>
        <w:t xml:space="preserve"> correlation with k</w:t>
      </w:r>
      <w:r>
        <w:rPr>
          <w:vertAlign w:val="subscript"/>
          <w:rtl w:val="0"/>
        </w:rPr>
        <w:t>o</w:t>
      </w:r>
      <w:r>
        <w:rPr>
          <w:rtl w:val="0"/>
        </w:rPr>
        <w:t xml:space="preserve"> for I</w:t>
      </w:r>
      <w:r>
        <w:rPr>
          <w:vertAlign w:val="subscript"/>
          <w:rtl w:val="0"/>
        </w:rPr>
        <w:t>D</w:t>
      </w:r>
      <w:r>
        <w:rPr>
          <w:rtl w:val="0"/>
        </w:rPr>
        <w:t xml:space="preserve"> &gt; 1.2</w:t>
      </w:r>
    </w:p>
    <w:p>
      <w:pPr>
        <w:pStyle w:val="Body"/>
      </w:pPr>
      <w:r>
        <w:rPr>
          <w:rtl w:val="0"/>
          <w:lang w:val="en-US"/>
        </w:rPr>
        <w:t>Figure 26 presents an example plot of dilatometer correlated shear strength parameters.</w:t>
      </w:r>
    </w:p>
    <w:p>
      <w:pPr>
        <w:pStyle w:val="Body"/>
      </w:pPr>
      <w:r>
        <w:drawing xmlns:a="http://schemas.openxmlformats.org/drawingml/2006/main">
          <wp:inline distT="0" distB="0" distL="0" distR="0">
            <wp:extent cx="5557400" cy="4704794"/>
            <wp:effectExtent l="0" t="0" r="0" b="0"/>
            <wp:docPr id="1073741858" name="officeArt object" descr="Picture 33"/>
            <wp:cNvGraphicFramePr/>
            <a:graphic xmlns:a="http://schemas.openxmlformats.org/drawingml/2006/main">
              <a:graphicData uri="http://schemas.openxmlformats.org/drawingml/2006/picture">
                <pic:pic xmlns:pic="http://schemas.openxmlformats.org/drawingml/2006/picture">
                  <pic:nvPicPr>
                    <pic:cNvPr id="1073741858" name="Picture 33" descr="Picture 33"/>
                    <pic:cNvPicPr>
                      <a:picLocks noChangeAspect="1"/>
                    </pic:cNvPicPr>
                  </pic:nvPicPr>
                  <pic:blipFill>
                    <a:blip r:embed="rId36">
                      <a:extLst/>
                    </a:blip>
                    <a:stretch>
                      <a:fillRect/>
                    </a:stretch>
                  </pic:blipFill>
                  <pic:spPr>
                    <a:xfrm>
                      <a:off x="0" y="0"/>
                      <a:ext cx="5557400" cy="4704794"/>
                    </a:xfrm>
                    <a:prstGeom prst="rect">
                      <a:avLst/>
                    </a:prstGeom>
                    <a:ln w="12700" cap="flat">
                      <a:noFill/>
                      <a:miter lim="400000"/>
                    </a:ln>
                    <a:effectLst/>
                  </pic:spPr>
                </pic:pic>
              </a:graphicData>
            </a:graphic>
          </wp:inline>
        </w:drawing>
      </w:r>
    </w:p>
    <w:p>
      <w:pPr>
        <w:pStyle w:val="Body"/>
      </w:pPr>
      <w:r>
        <w:rPr>
          <w:rtl w:val="0"/>
          <w:lang w:val="en-US"/>
        </w:rPr>
        <w:t>Figure 26: DMT Shear Strength Example</w:t>
      </w:r>
    </w:p>
    <w:p>
      <w:pPr>
        <w:pStyle w:val="Body"/>
        <w:rPr>
          <w:b w:val="1"/>
          <w:bCs w:val="1"/>
          <w:sz w:val="22"/>
          <w:szCs w:val="22"/>
        </w:rPr>
      </w:pPr>
    </w:p>
    <w:p>
      <w:pPr>
        <w:pStyle w:val="Body"/>
        <w:rPr>
          <w:b w:val="1"/>
          <w:bCs w:val="1"/>
          <w:sz w:val="22"/>
          <w:szCs w:val="22"/>
        </w:rPr>
      </w:pPr>
    </w:p>
    <w:p>
      <w:pPr>
        <w:pStyle w:val="Body"/>
        <w:rPr>
          <w:sz w:val="22"/>
          <w:szCs w:val="22"/>
        </w:rPr>
      </w:pPr>
      <w:r>
        <w:rPr>
          <w:b w:val="1"/>
          <w:bCs w:val="1"/>
          <w:sz w:val="22"/>
          <w:szCs w:val="22"/>
          <w:rtl w:val="0"/>
          <w:lang w:val="en-US"/>
        </w:rPr>
        <w:t xml:space="preserve">Deformation Properties: </w:t>
      </w:r>
      <w:r>
        <w:rPr>
          <w:sz w:val="22"/>
          <w:szCs w:val="22"/>
          <w:rtl w:val="0"/>
          <w:lang w:val="en-US"/>
        </w:rPr>
        <w:t>The dilatometer test statically deforms the soil straining it to intermediate levels compatible with strains that structures or embankments generate.  On the other hand, penetration tests (CPT and SPT) strain the soil to failure making those correlations with deformation modulus inaccurate (Figure 27).  Logically and intuitively, the engineer knows deformation tests better predict the soil</w:t>
      </w:r>
      <w:r>
        <w:rPr>
          <w:sz w:val="22"/>
          <w:szCs w:val="22"/>
          <w:rtl w:val="1"/>
        </w:rPr>
        <w:t xml:space="preserve">’ </w:t>
      </w:r>
      <w:r>
        <w:rPr>
          <w:sz w:val="22"/>
          <w:szCs w:val="22"/>
          <w:rtl w:val="0"/>
          <w:lang w:val="en-US"/>
        </w:rPr>
        <w:t>stiffness than penetration tests that fail the soil.</w:t>
      </w:r>
    </w:p>
    <w:p>
      <w:pPr>
        <w:pStyle w:val="Body"/>
        <w:rPr>
          <w:sz w:val="22"/>
          <w:szCs w:val="22"/>
        </w:rPr>
      </w:pPr>
      <w:r>
        <w:drawing xmlns:a="http://schemas.openxmlformats.org/drawingml/2006/main">
          <wp:inline distT="0" distB="0" distL="0" distR="0">
            <wp:extent cx="2960392" cy="1977390"/>
            <wp:effectExtent l="0" t="0" r="0" b="0"/>
            <wp:docPr id="1073741859" name="officeArt object" descr="Picture 47"/>
            <wp:cNvGraphicFramePr/>
            <a:graphic xmlns:a="http://schemas.openxmlformats.org/drawingml/2006/main">
              <a:graphicData uri="http://schemas.openxmlformats.org/drawingml/2006/picture">
                <pic:pic xmlns:pic="http://schemas.openxmlformats.org/drawingml/2006/picture">
                  <pic:nvPicPr>
                    <pic:cNvPr id="1073741859" name="Picture 47" descr="Picture 47"/>
                    <pic:cNvPicPr>
                      <a:picLocks noChangeAspect="1"/>
                    </pic:cNvPicPr>
                  </pic:nvPicPr>
                  <pic:blipFill>
                    <a:blip r:embed="rId37">
                      <a:extLst/>
                    </a:blip>
                    <a:stretch>
                      <a:fillRect/>
                    </a:stretch>
                  </pic:blipFill>
                  <pic:spPr>
                    <a:xfrm>
                      <a:off x="0" y="0"/>
                      <a:ext cx="2960392" cy="1977390"/>
                    </a:xfrm>
                    <a:prstGeom prst="rect">
                      <a:avLst/>
                    </a:prstGeom>
                    <a:ln w="12700" cap="flat">
                      <a:noFill/>
                      <a:miter lim="400000"/>
                    </a:ln>
                    <a:effectLst/>
                  </pic:spPr>
                </pic:pic>
              </a:graphicData>
            </a:graphic>
          </wp:inline>
        </w:drawing>
      </w:r>
      <w:r>
        <w:drawing xmlns:a="http://schemas.openxmlformats.org/drawingml/2006/main">
          <wp:inline distT="0" distB="0" distL="0" distR="0">
            <wp:extent cx="2880360" cy="2206125"/>
            <wp:effectExtent l="0" t="0" r="0" b="0"/>
            <wp:docPr id="1073741860" name="officeArt object" descr="Picture 27"/>
            <wp:cNvGraphicFramePr/>
            <a:graphic xmlns:a="http://schemas.openxmlformats.org/drawingml/2006/main">
              <a:graphicData uri="http://schemas.openxmlformats.org/drawingml/2006/picture">
                <pic:pic xmlns:pic="http://schemas.openxmlformats.org/drawingml/2006/picture">
                  <pic:nvPicPr>
                    <pic:cNvPr id="1073741860" name="Picture 27" descr="Picture 27"/>
                    <pic:cNvPicPr>
                      <a:picLocks noChangeAspect="1"/>
                    </pic:cNvPicPr>
                  </pic:nvPicPr>
                  <pic:blipFill>
                    <a:blip r:embed="rId38">
                      <a:extLst/>
                    </a:blip>
                    <a:stretch>
                      <a:fillRect/>
                    </a:stretch>
                  </pic:blipFill>
                  <pic:spPr>
                    <a:xfrm>
                      <a:off x="0" y="0"/>
                      <a:ext cx="2880360" cy="2206125"/>
                    </a:xfrm>
                    <a:prstGeom prst="rect">
                      <a:avLst/>
                    </a:prstGeom>
                    <a:ln w="12700" cap="flat">
                      <a:noFill/>
                      <a:miter lim="400000"/>
                    </a:ln>
                    <a:effectLst/>
                  </pic:spPr>
                </pic:pic>
              </a:graphicData>
            </a:graphic>
          </wp:inline>
        </w:drawing>
      </w:r>
    </w:p>
    <w:p>
      <w:pPr>
        <w:pStyle w:val="Body"/>
        <w:rPr>
          <w:sz w:val="22"/>
          <w:szCs w:val="22"/>
        </w:rPr>
      </w:pPr>
      <w:r>
        <w:rPr>
          <w:sz w:val="22"/>
          <w:szCs w:val="22"/>
          <w:rtl w:val="0"/>
          <w:lang w:val="en-US"/>
        </w:rPr>
        <w:t>Figure 27: DMT strains the soil to an intermediate level like buildings or embankments</w:t>
      </w:r>
    </w:p>
    <w:p>
      <w:pPr>
        <w:pStyle w:val="Body"/>
        <w:rPr>
          <w:sz w:val="22"/>
          <w:szCs w:val="22"/>
        </w:rPr>
      </w:pPr>
      <w:r>
        <w:rPr>
          <w:sz w:val="22"/>
          <w:szCs w:val="22"/>
          <w:rtl w:val="0"/>
          <w:lang w:val="en-US"/>
        </w:rPr>
        <w:t>Figure 28: Elastic half-space theory used to compute E</w:t>
      </w:r>
      <w:r>
        <w:rPr>
          <w:sz w:val="22"/>
          <w:szCs w:val="22"/>
          <w:vertAlign w:val="subscript"/>
          <w:rtl w:val="0"/>
        </w:rPr>
        <w:t>D</w:t>
      </w:r>
    </w:p>
    <w:p>
      <w:pPr>
        <w:pStyle w:val="Body"/>
        <w:rPr>
          <w:sz w:val="22"/>
          <w:szCs w:val="22"/>
        </w:rPr>
      </w:pPr>
    </w:p>
    <w:p>
      <w:pPr>
        <w:pStyle w:val="Body"/>
        <w:rPr>
          <w:sz w:val="22"/>
          <w:szCs w:val="22"/>
        </w:rPr>
      </w:pPr>
      <w:r>
        <w:rPr>
          <w:sz w:val="22"/>
          <w:szCs w:val="22"/>
        </w:rPr>
        <w:drawing xmlns:a="http://schemas.openxmlformats.org/drawingml/2006/main">
          <wp:anchor distT="57150" distB="57150" distL="57150" distR="57150" simplePos="0" relativeHeight="251663360" behindDoc="0" locked="0" layoutInCell="1" allowOverlap="1">
            <wp:simplePos x="0" y="0"/>
            <wp:positionH relativeFrom="page">
              <wp:posOffset>914400</wp:posOffset>
            </wp:positionH>
            <wp:positionV relativeFrom="line">
              <wp:posOffset>1488439</wp:posOffset>
            </wp:positionV>
            <wp:extent cx="2624328" cy="1536192"/>
            <wp:effectExtent l="0" t="0" r="0" b="0"/>
            <wp:wrapSquare wrapText="left" distL="57150" distR="57150" distT="57150" distB="57150"/>
            <wp:docPr id="1073741861" name="officeArt object" descr="Picture 19"/>
            <wp:cNvGraphicFramePr/>
            <a:graphic xmlns:a="http://schemas.openxmlformats.org/drawingml/2006/main">
              <a:graphicData uri="http://schemas.openxmlformats.org/drawingml/2006/picture">
                <pic:pic xmlns:pic="http://schemas.openxmlformats.org/drawingml/2006/picture">
                  <pic:nvPicPr>
                    <pic:cNvPr id="1073741861" name="Picture 19" descr="Picture 19"/>
                    <pic:cNvPicPr>
                      <a:picLocks noChangeAspect="1"/>
                    </pic:cNvPicPr>
                  </pic:nvPicPr>
                  <pic:blipFill>
                    <a:blip r:embed="rId39">
                      <a:extLst/>
                    </a:blip>
                    <a:stretch>
                      <a:fillRect/>
                    </a:stretch>
                  </pic:blipFill>
                  <pic:spPr>
                    <a:xfrm>
                      <a:off x="0" y="0"/>
                      <a:ext cx="2624328" cy="1536192"/>
                    </a:xfrm>
                    <a:prstGeom prst="rect">
                      <a:avLst/>
                    </a:prstGeom>
                    <a:ln w="12700" cap="flat">
                      <a:noFill/>
                      <a:miter lim="400000"/>
                    </a:ln>
                    <a:effectLst/>
                  </pic:spPr>
                </pic:pic>
              </a:graphicData>
            </a:graphic>
          </wp:anchor>
        </w:drawing>
      </w:r>
      <w:r>
        <w:rPr>
          <w:sz w:val="22"/>
          <w:szCs w:val="22"/>
          <w:rtl w:val="0"/>
          <w:lang w:val="en-US"/>
        </w:rPr>
        <w:t>The dilatometer modulus, E</w:t>
      </w:r>
      <w:r>
        <w:rPr>
          <w:sz w:val="22"/>
          <w:szCs w:val="22"/>
          <w:vertAlign w:val="subscript"/>
          <w:rtl w:val="0"/>
        </w:rPr>
        <w:t>D</w:t>
      </w:r>
      <w:r>
        <w:rPr>
          <w:sz w:val="22"/>
          <w:szCs w:val="22"/>
          <w:rtl w:val="0"/>
          <w:lang w:val="en-US"/>
        </w:rPr>
        <w:t>, acts as an intermediate parameter (the engineer should not use E</w:t>
      </w:r>
      <w:r>
        <w:rPr>
          <w:sz w:val="22"/>
          <w:szCs w:val="22"/>
          <w:vertAlign w:val="subscript"/>
          <w:rtl w:val="0"/>
        </w:rPr>
        <w:t>D</w:t>
      </w:r>
      <w:r>
        <w:rPr>
          <w:sz w:val="22"/>
          <w:szCs w:val="22"/>
          <w:rtl w:val="0"/>
          <w:lang w:val="en-US"/>
        </w:rPr>
        <w:t xml:space="preserve"> in any design calculations) and requires correlation equations based on I</w:t>
      </w:r>
      <w:r>
        <w:rPr>
          <w:sz w:val="22"/>
          <w:szCs w:val="22"/>
          <w:vertAlign w:val="subscript"/>
          <w:rtl w:val="0"/>
        </w:rPr>
        <w:t>D</w:t>
      </w:r>
      <w:r>
        <w:rPr>
          <w:sz w:val="22"/>
          <w:szCs w:val="22"/>
          <w:rtl w:val="0"/>
          <w:lang w:val="en-US"/>
        </w:rPr>
        <w:t xml:space="preserve"> and K</w:t>
      </w:r>
      <w:r>
        <w:rPr>
          <w:sz w:val="22"/>
          <w:szCs w:val="22"/>
          <w:vertAlign w:val="subscript"/>
          <w:rtl w:val="0"/>
        </w:rPr>
        <w:t>D</w:t>
      </w:r>
      <w:r>
        <w:rPr>
          <w:sz w:val="22"/>
          <w:szCs w:val="22"/>
          <w:rtl w:val="0"/>
          <w:lang w:val="en-US"/>
        </w:rPr>
        <w:t xml:space="preserve"> to get the constrained deformation modulus, M.  M equals the tangential slope from a consolidation test plotted arithmetically as vertical strain versus applied pressure at the existing vertical effective stress (Figure 29). On Figure 30 Failmezger and Bullock (2004) show how favorably DMT M values compare with laboratory consolidation tests for alluvial and residual soils.  Figure 31 shows favorable comparisons of constrained deformation moduli for soil in Norway and Tokyo between DMT and laboratory consolidation test data.</w:t>
      </w:r>
    </w:p>
    <w:p>
      <w:pPr>
        <w:pStyle w:val="Body"/>
        <w:rPr>
          <w:sz w:val="22"/>
          <w:szCs w:val="22"/>
        </w:rPr>
      </w:pPr>
      <w:r>
        <w:rPr>
          <w:sz w:val="22"/>
          <w:szCs w:val="22"/>
        </w:rPr>
        <w:drawing xmlns:a="http://schemas.openxmlformats.org/drawingml/2006/main">
          <wp:anchor distT="57150" distB="57150" distL="57150" distR="57150" simplePos="0" relativeHeight="251662336" behindDoc="0" locked="0" layoutInCell="1" allowOverlap="1">
            <wp:simplePos x="0" y="0"/>
            <wp:positionH relativeFrom="page">
              <wp:posOffset>4199255</wp:posOffset>
            </wp:positionH>
            <wp:positionV relativeFrom="line">
              <wp:posOffset>57784</wp:posOffset>
            </wp:positionV>
            <wp:extent cx="2280286" cy="1940561"/>
            <wp:effectExtent l="0" t="0" r="0" b="0"/>
            <wp:wrapSquare wrapText="right" distL="57150" distR="57150" distT="57150" distB="57150"/>
            <wp:docPr id="1073741862" name="officeArt object" descr="Picture 21"/>
            <wp:cNvGraphicFramePr/>
            <a:graphic xmlns:a="http://schemas.openxmlformats.org/drawingml/2006/main">
              <a:graphicData uri="http://schemas.openxmlformats.org/drawingml/2006/picture">
                <pic:pic xmlns:pic="http://schemas.openxmlformats.org/drawingml/2006/picture">
                  <pic:nvPicPr>
                    <pic:cNvPr id="1073741862" name="Picture 21" descr="Picture 21"/>
                    <pic:cNvPicPr>
                      <a:picLocks noChangeAspect="1"/>
                    </pic:cNvPicPr>
                  </pic:nvPicPr>
                  <pic:blipFill>
                    <a:blip r:embed="rId40">
                      <a:extLst/>
                    </a:blip>
                    <a:stretch>
                      <a:fillRect/>
                    </a:stretch>
                  </pic:blipFill>
                  <pic:spPr>
                    <a:xfrm>
                      <a:off x="0" y="0"/>
                      <a:ext cx="2280286" cy="1940561"/>
                    </a:xfrm>
                    <a:prstGeom prst="rect">
                      <a:avLst/>
                    </a:prstGeom>
                    <a:ln w="12700" cap="flat">
                      <a:noFill/>
                      <a:miter lim="400000"/>
                    </a:ln>
                    <a:effectLst/>
                  </pic:spPr>
                </pic:pic>
              </a:graphicData>
            </a:graphic>
          </wp:anchor>
        </w:drawing>
      </w:r>
    </w:p>
    <w:p>
      <w:pPr>
        <w:pStyle w:val="Body"/>
        <w:rPr>
          <w:sz w:val="22"/>
          <w:szCs w:val="22"/>
        </w:rPr>
      </w:pPr>
      <w:r>
        <w:rPr>
          <w:sz w:val="22"/>
          <w:szCs w:val="22"/>
        </w:rPr>
        <w:drawing xmlns:a="http://schemas.openxmlformats.org/drawingml/2006/main">
          <wp:anchor distT="57150" distB="57150" distL="57150" distR="57150" simplePos="0" relativeHeight="251677696" behindDoc="0" locked="0" layoutInCell="1" allowOverlap="1">
            <wp:simplePos x="0" y="0"/>
            <wp:positionH relativeFrom="column">
              <wp:posOffset>3136407</wp:posOffset>
            </wp:positionH>
            <wp:positionV relativeFrom="line">
              <wp:posOffset>1874266</wp:posOffset>
            </wp:positionV>
            <wp:extent cx="2381250" cy="2266950"/>
            <wp:effectExtent l="0" t="0" r="0" b="0"/>
            <wp:wrapSquare wrapText="bothSides" distL="57150" distR="57150" distT="57150" distB="57150"/>
            <wp:docPr id="1073741863" name="officeArt object" descr="Picture 214"/>
            <wp:cNvGraphicFramePr/>
            <a:graphic xmlns:a="http://schemas.openxmlformats.org/drawingml/2006/main">
              <a:graphicData uri="http://schemas.openxmlformats.org/drawingml/2006/picture">
                <pic:pic xmlns:pic="http://schemas.openxmlformats.org/drawingml/2006/picture">
                  <pic:nvPicPr>
                    <pic:cNvPr id="1073741863" name="Picture 214" descr="Picture 214"/>
                    <pic:cNvPicPr>
                      <a:picLocks noChangeAspect="1"/>
                    </pic:cNvPicPr>
                  </pic:nvPicPr>
                  <pic:blipFill>
                    <a:blip r:embed="rId41">
                      <a:extLst/>
                    </a:blip>
                    <a:stretch>
                      <a:fillRect/>
                    </a:stretch>
                  </pic:blipFill>
                  <pic:spPr>
                    <a:xfrm>
                      <a:off x="0" y="0"/>
                      <a:ext cx="2381250" cy="2266950"/>
                    </a:xfrm>
                    <a:prstGeom prst="rect">
                      <a:avLst/>
                    </a:prstGeom>
                    <a:ln w="12700" cap="flat">
                      <a:noFill/>
                      <a:miter lim="400000"/>
                    </a:ln>
                    <a:effectLst/>
                  </pic:spPr>
                </pic:pic>
              </a:graphicData>
            </a:graphic>
          </wp:anchor>
        </w:drawing>
      </w:r>
      <w:r>
        <w:rPr>
          <w:sz w:val="22"/>
          <w:szCs w:val="22"/>
          <w:rtl w:val="0"/>
          <w:lang w:val="en-US"/>
        </w:rPr>
        <w:t>Figure 29: Computing Constrained Deformation Modulus from Lab Consolidation Tests</w:t>
      </w:r>
    </w:p>
    <w:p>
      <w:pPr>
        <w:pStyle w:val="Body"/>
        <w:rPr>
          <w:sz w:val="22"/>
          <w:szCs w:val="22"/>
        </w:rPr>
      </w:pPr>
    </w:p>
    <w:p>
      <w:pPr>
        <w:pStyle w:val="Body"/>
        <w:rPr>
          <w:sz w:val="22"/>
          <w:szCs w:val="22"/>
        </w:rPr>
      </w:pPr>
      <w:r>
        <w:rPr>
          <w:sz w:val="22"/>
          <w:szCs w:val="22"/>
          <w:rtl w:val="0"/>
          <w:lang w:val="en-US"/>
        </w:rPr>
        <w:t>Figure 30: DMT Favorable Comparisons with Lab Consolidation Tests (close to 1:1 line)</w:t>
      </w:r>
    </w:p>
    <w:p>
      <w:pPr>
        <w:pStyle w:val="Body"/>
        <w:rPr>
          <w:sz w:val="22"/>
          <w:szCs w:val="22"/>
        </w:rPr>
      </w:pPr>
    </w:p>
    <w:p>
      <w:pPr>
        <w:pStyle w:val="Body"/>
        <w:rPr>
          <w:sz w:val="22"/>
          <w:szCs w:val="22"/>
        </w:rPr>
      </w:pPr>
      <w:r>
        <w:rPr>
          <w:sz w:val="22"/>
          <w:szCs w:val="22"/>
          <w:rtl w:val="0"/>
          <w:lang w:val="en-US"/>
        </w:rPr>
        <w:t>Figure 31: DMT and Consolidation Tests Comparisons for Constrained Deformation Moduli in Norway and Tokyo</w:t>
      </w:r>
    </w:p>
    <w:p>
      <w:pPr>
        <w:pStyle w:val="Body"/>
        <w:rPr>
          <w:sz w:val="22"/>
          <w:szCs w:val="22"/>
        </w:rPr>
      </w:pPr>
    </w:p>
    <w:p>
      <w:pPr>
        <w:pStyle w:val="Body"/>
      </w:pPr>
    </w:p>
    <w:p>
      <w:pPr>
        <w:pStyle w:val="Body"/>
      </w:pPr>
    </w:p>
    <w:p>
      <w:pPr>
        <w:pStyle w:val="Body"/>
      </w:pPr>
      <w:r>
        <w:rPr>
          <w:b w:val="1"/>
          <w:bCs w:val="1"/>
          <w:rtl w:val="0"/>
          <w:lang w:val="en-US"/>
        </w:rPr>
        <w:t>Stress History:</w:t>
      </w:r>
      <w:r>
        <w:rPr>
          <w:rtl w:val="0"/>
          <w:lang w:val="en-US"/>
        </w:rPr>
        <w:t xml:space="preserve"> The K</w:t>
      </w:r>
      <w:r>
        <w:rPr>
          <w:vertAlign w:val="subscript"/>
          <w:rtl w:val="0"/>
        </w:rPr>
        <w:t>D</w:t>
      </w:r>
      <w:r>
        <w:rPr>
          <w:rtl w:val="0"/>
          <w:lang w:val="en-US"/>
        </w:rPr>
        <w:t xml:space="preserve"> horizontal stress index provides a critical numerical parameter for stress history of the soil that other in-situ tests do not provide (Figures 22 and 23).</w:t>
      </w:r>
    </w:p>
    <w:p>
      <w:pPr>
        <w:pStyle w:val="Body"/>
      </w:pPr>
    </w:p>
    <w:p>
      <w:pPr>
        <w:pStyle w:val="Body"/>
      </w:pPr>
      <w:r>
        <w:drawing xmlns:a="http://schemas.openxmlformats.org/drawingml/2006/main">
          <wp:inline distT="0" distB="0" distL="0" distR="0">
            <wp:extent cx="2789440" cy="2048256"/>
            <wp:effectExtent l="0" t="0" r="0" b="0"/>
            <wp:docPr id="1073741864" name="officeArt object" descr="Picture 26"/>
            <wp:cNvGraphicFramePr/>
            <a:graphic xmlns:a="http://schemas.openxmlformats.org/drawingml/2006/main">
              <a:graphicData uri="http://schemas.openxmlformats.org/drawingml/2006/picture">
                <pic:pic xmlns:pic="http://schemas.openxmlformats.org/drawingml/2006/picture">
                  <pic:nvPicPr>
                    <pic:cNvPr id="1073741864" name="Picture 26" descr="Picture 26"/>
                    <pic:cNvPicPr>
                      <a:picLocks noChangeAspect="1"/>
                    </pic:cNvPicPr>
                  </pic:nvPicPr>
                  <pic:blipFill>
                    <a:blip r:embed="rId42">
                      <a:extLst/>
                    </a:blip>
                    <a:stretch>
                      <a:fillRect/>
                    </a:stretch>
                  </pic:blipFill>
                  <pic:spPr>
                    <a:xfrm>
                      <a:off x="0" y="0"/>
                      <a:ext cx="2789440" cy="2048256"/>
                    </a:xfrm>
                    <a:prstGeom prst="rect">
                      <a:avLst/>
                    </a:prstGeom>
                    <a:ln w="12700" cap="flat">
                      <a:noFill/>
                      <a:miter lim="400000"/>
                    </a:ln>
                    <a:effectLst/>
                  </pic:spPr>
                </pic:pic>
              </a:graphicData>
            </a:graphic>
          </wp:inline>
        </w:drawing>
      </w:r>
      <w:r>
        <w:drawing xmlns:a="http://schemas.openxmlformats.org/drawingml/2006/main">
          <wp:inline distT="0" distB="0" distL="0" distR="0">
            <wp:extent cx="2990089" cy="2084833"/>
            <wp:effectExtent l="0" t="0" r="0" b="0"/>
            <wp:docPr id="1073741865" name="officeArt object" descr="Picture 12"/>
            <wp:cNvGraphicFramePr/>
            <a:graphic xmlns:a="http://schemas.openxmlformats.org/drawingml/2006/main">
              <a:graphicData uri="http://schemas.openxmlformats.org/drawingml/2006/picture">
                <pic:pic xmlns:pic="http://schemas.openxmlformats.org/drawingml/2006/picture">
                  <pic:nvPicPr>
                    <pic:cNvPr id="1073741865" name="Picture 12" descr="Picture 12"/>
                    <pic:cNvPicPr>
                      <a:picLocks noChangeAspect="1"/>
                    </pic:cNvPicPr>
                  </pic:nvPicPr>
                  <pic:blipFill>
                    <a:blip r:embed="rId43">
                      <a:extLst/>
                    </a:blip>
                    <a:stretch>
                      <a:fillRect/>
                    </a:stretch>
                  </pic:blipFill>
                  <pic:spPr>
                    <a:xfrm>
                      <a:off x="0" y="0"/>
                      <a:ext cx="2990089" cy="2084833"/>
                    </a:xfrm>
                    <a:prstGeom prst="rect">
                      <a:avLst/>
                    </a:prstGeom>
                    <a:ln w="12700" cap="flat">
                      <a:noFill/>
                      <a:miter lim="400000"/>
                    </a:ln>
                    <a:effectLst/>
                  </pic:spPr>
                </pic:pic>
              </a:graphicData>
            </a:graphic>
          </wp:inline>
        </w:drawing>
      </w:r>
    </w:p>
    <w:p>
      <w:pPr>
        <w:pStyle w:val="Body"/>
      </w:pPr>
      <w:r>
        <w:rPr>
          <w:rtl w:val="0"/>
          <w:lang w:val="en-US"/>
        </w:rPr>
        <w:t>Figures 22 and 23: Importance of K</w:t>
      </w:r>
      <w:r>
        <w:rPr>
          <w:vertAlign w:val="subscript"/>
          <w:rtl w:val="0"/>
        </w:rPr>
        <w:t>D</w:t>
      </w:r>
      <w:r>
        <w:rPr>
          <w:rtl w:val="0"/>
        </w:rPr>
        <w:t xml:space="preserve">. </w:t>
      </w:r>
    </w:p>
    <w:p>
      <w:pPr>
        <w:pStyle w:val="Body"/>
      </w:pPr>
    </w:p>
    <w:p>
      <w:pPr>
        <w:pStyle w:val="Body"/>
        <w:rPr>
          <w:sz w:val="22"/>
          <w:szCs w:val="22"/>
        </w:rPr>
      </w:pPr>
      <w:r>
        <w:rPr>
          <w:b w:val="1"/>
          <w:bCs w:val="1"/>
          <w:sz w:val="22"/>
          <w:szCs w:val="22"/>
          <w:rtl w:val="0"/>
          <w:lang w:val="en-US"/>
        </w:rPr>
        <w:t>Over-consolidation Ratio:</w:t>
      </w:r>
      <w:r>
        <w:rPr>
          <w:sz w:val="22"/>
          <w:szCs w:val="22"/>
          <w:rtl w:val="0"/>
          <w:lang w:val="en-US"/>
        </w:rPr>
        <w:t xml:space="preserve"> For cohesive soil with an I</w:t>
      </w:r>
      <w:r>
        <w:rPr>
          <w:sz w:val="22"/>
          <w:szCs w:val="22"/>
          <w:vertAlign w:val="subscript"/>
          <w:rtl w:val="0"/>
        </w:rPr>
        <w:t>D</w:t>
      </w:r>
      <w:r>
        <w:rPr>
          <w:sz w:val="22"/>
          <w:szCs w:val="22"/>
          <w:rtl w:val="0"/>
          <w:lang w:val="en-US"/>
        </w:rPr>
        <w:t xml:space="preserve"> &lt; 1.2, Marchetti (1980) computes the OCR with the following equation:</w:t>
      </w:r>
    </w:p>
    <w:p>
      <w:pPr>
        <w:pStyle w:val="Body"/>
        <w:rPr>
          <w:sz w:val="22"/>
          <w:szCs w:val="22"/>
        </w:rPr>
      </w:pPr>
    </w:p>
    <w:p>
      <w:pPr>
        <w:pStyle w:val="Body"/>
        <w:rPr>
          <w:sz w:val="22"/>
          <w:szCs w:val="22"/>
        </w:rPr>
      </w:pPr>
      <w:r>
        <w:rPr>
          <w:sz w:val="22"/>
          <w:szCs w:val="22"/>
          <w:rtl w:val="0"/>
          <w:lang w:val="en-US"/>
        </w:rPr>
        <w:t>OCR = (0.5 * K</w:t>
      </w:r>
      <w:r>
        <w:rPr>
          <w:sz w:val="22"/>
          <w:szCs w:val="22"/>
          <w:vertAlign w:val="subscript"/>
          <w:rtl w:val="0"/>
        </w:rPr>
        <w:t>D</w:t>
      </w:r>
      <w:r>
        <w:rPr>
          <w:sz w:val="22"/>
          <w:szCs w:val="22"/>
          <w:rtl w:val="0"/>
        </w:rPr>
        <w:t>)</w:t>
      </w:r>
      <w:r>
        <w:rPr>
          <w:sz w:val="22"/>
          <w:szCs w:val="22"/>
          <w:vertAlign w:val="superscript"/>
          <w:rtl w:val="0"/>
        </w:rPr>
        <w:t>1.56</w:t>
      </w:r>
      <w:r>
        <w:rPr>
          <w:sz w:val="22"/>
          <w:szCs w:val="22"/>
          <w:rtl w:val="0"/>
          <w:lang w:val="en-US"/>
        </w:rPr>
        <w:tab/>
        <w:t>For I</w:t>
      </w:r>
      <w:r>
        <w:rPr>
          <w:sz w:val="22"/>
          <w:szCs w:val="22"/>
          <w:vertAlign w:val="subscript"/>
          <w:rtl w:val="0"/>
        </w:rPr>
        <w:t>D</w:t>
      </w:r>
      <w:r>
        <w:rPr>
          <w:sz w:val="22"/>
          <w:szCs w:val="22"/>
          <w:rtl w:val="0"/>
        </w:rPr>
        <w:t xml:space="preserve"> &lt; 1.2</w:t>
      </w:r>
    </w:p>
    <w:p>
      <w:pPr>
        <w:pStyle w:val="Body"/>
        <w:rPr>
          <w:sz w:val="22"/>
          <w:szCs w:val="22"/>
        </w:rPr>
      </w:pPr>
    </w:p>
    <w:p>
      <w:pPr>
        <w:pStyle w:val="Body"/>
        <w:rPr>
          <w:sz w:val="22"/>
          <w:szCs w:val="22"/>
        </w:rPr>
      </w:pPr>
      <w:r>
        <w:rPr>
          <w:sz w:val="22"/>
          <w:szCs w:val="22"/>
          <w:rtl w:val="0"/>
          <w:lang w:val="en-US"/>
        </w:rPr>
        <w:t>For cohesionless soil, Schmertmann slightly modified Mayne and Kulhawy (1982) formula to have a better correlation with large chamber test data as follows:</w:t>
      </w:r>
    </w:p>
    <w:p>
      <w:pPr>
        <w:pStyle w:val="Body"/>
        <w:rPr>
          <w:sz w:val="22"/>
          <w:szCs w:val="22"/>
        </w:rPr>
      </w:pPr>
    </w:p>
    <w:p>
      <w:pPr>
        <w:pStyle w:val="Body"/>
        <w:rPr>
          <w:sz w:val="22"/>
          <w:szCs w:val="22"/>
        </w:rPr>
      </w:pPr>
      <w:r>
        <w:rPr>
          <w:sz w:val="22"/>
          <w:szCs w:val="22"/>
          <w:rtl w:val="0"/>
          <w:lang w:val="pt-PT"/>
        </w:rPr>
        <w:tab/>
        <w:t>OCR = [k</w:t>
      </w:r>
      <w:r>
        <w:rPr>
          <w:sz w:val="22"/>
          <w:szCs w:val="22"/>
          <w:vertAlign w:val="subscript"/>
          <w:rtl w:val="0"/>
        </w:rPr>
        <w:t>o</w:t>
      </w:r>
      <w:r>
        <w:rPr>
          <w:sz w:val="22"/>
          <w:szCs w:val="22"/>
          <w:rtl w:val="0"/>
        </w:rPr>
        <w:t xml:space="preserve">/(1 </w:t>
      </w:r>
      <w:r>
        <w:rPr>
          <w:sz w:val="22"/>
          <w:szCs w:val="22"/>
          <w:rtl w:val="0"/>
        </w:rPr>
        <w:t xml:space="preserve">– </w:t>
      </w:r>
      <w:r>
        <w:rPr>
          <w:sz w:val="22"/>
          <w:szCs w:val="22"/>
          <w:rtl w:val="0"/>
        </w:rPr>
        <w:t>sin</w:t>
      </w:r>
      <w:r>
        <w:rPr>
          <w:rFonts w:ascii="Symbol" w:hAnsi="Symbol" w:hint="default"/>
          <w:sz w:val="22"/>
          <w:szCs w:val="22"/>
          <w:rtl w:val="0"/>
        </w:rPr>
        <w:t>f</w:t>
      </w:r>
      <w:r>
        <w:rPr>
          <w:sz w:val="22"/>
          <w:szCs w:val="22"/>
          <w:rtl w:val="1"/>
        </w:rPr>
        <w:t>’</w:t>
      </w:r>
      <w:r>
        <w:rPr>
          <w:sz w:val="22"/>
          <w:szCs w:val="22"/>
          <w:vertAlign w:val="subscript"/>
          <w:rtl w:val="0"/>
        </w:rPr>
        <w:t>ax</w:t>
      </w:r>
      <w:r>
        <w:rPr>
          <w:sz w:val="22"/>
          <w:szCs w:val="22"/>
          <w:rtl w:val="0"/>
          <w:lang w:val="pt-PT"/>
        </w:rPr>
        <w:t>)]</w:t>
      </w:r>
      <w:r>
        <w:rPr>
          <w:sz w:val="22"/>
          <w:szCs w:val="22"/>
          <w:vertAlign w:val="superscript"/>
          <w:rtl w:val="0"/>
          <w:lang w:val="fr-FR"/>
        </w:rPr>
        <w:t>(1- 0.8 * sin</w:t>
      </w:r>
      <w:r>
        <w:rPr>
          <w:rFonts w:ascii="Symbol" w:hAnsi="Symbol" w:hint="default"/>
          <w:sz w:val="22"/>
          <w:szCs w:val="22"/>
          <w:vertAlign w:val="superscript"/>
          <w:rtl w:val="0"/>
        </w:rPr>
        <w:t>f</w:t>
      </w:r>
      <w:r>
        <w:rPr>
          <w:sz w:val="22"/>
          <w:szCs w:val="22"/>
          <w:vertAlign w:val="superscript"/>
          <w:rtl w:val="1"/>
        </w:rPr>
        <w:t>’</w:t>
      </w:r>
      <w:r>
        <w:rPr>
          <w:sz w:val="22"/>
          <w:szCs w:val="22"/>
          <w:vertAlign w:val="superscript"/>
          <w:rtl w:val="0"/>
        </w:rPr>
        <w:t>ax)</w:t>
      </w:r>
      <w:r>
        <w:rPr>
          <w:sz w:val="22"/>
          <w:szCs w:val="22"/>
          <w:rtl w:val="0"/>
          <w:lang w:val="en-US"/>
        </w:rPr>
        <w:tab/>
        <w:tab/>
        <w:tab/>
        <w:t>For I</w:t>
      </w:r>
      <w:r>
        <w:rPr>
          <w:sz w:val="22"/>
          <w:szCs w:val="22"/>
          <w:vertAlign w:val="subscript"/>
          <w:rtl w:val="0"/>
        </w:rPr>
        <w:t>D</w:t>
      </w:r>
      <w:r>
        <w:rPr>
          <w:sz w:val="22"/>
          <w:szCs w:val="22"/>
          <w:rtl w:val="0"/>
        </w:rPr>
        <w:t xml:space="preserve"> &gt; 1.2</w:t>
      </w:r>
    </w:p>
    <w:p>
      <w:pPr>
        <w:pStyle w:val="Body"/>
      </w:pPr>
      <w:r>
        <w:rPr>
          <w:rFonts w:ascii="Arial Unicode MS" w:cs="Arial Unicode MS" w:hAnsi="Arial Unicode MS" w:eastAsia="Arial Unicode MS"/>
          <w:b w:val="0"/>
          <w:bCs w:val="0"/>
          <w:i w:val="0"/>
          <w:iCs w:val="0"/>
          <w:sz w:val="22"/>
          <w:szCs w:val="22"/>
        </w:rPr>
        <w:br w:type="page"/>
      </w:r>
    </w:p>
    <w:p>
      <w:pPr>
        <w:pStyle w:val="Body"/>
        <w:rPr>
          <w:sz w:val="22"/>
          <w:szCs w:val="22"/>
        </w:rPr>
      </w:pPr>
      <w:r>
        <w:rPr>
          <w:sz w:val="22"/>
          <w:szCs w:val="22"/>
          <w:rtl w:val="0"/>
          <w:lang w:val="en-US"/>
        </w:rPr>
        <w:t>Figure 32 presents an example of modulus and preconsolidation pressures for a DMT soundings.</w:t>
      </w:r>
    </w:p>
    <w:p>
      <w:pPr>
        <w:pStyle w:val="Body"/>
        <w:rPr>
          <w:sz w:val="22"/>
          <w:szCs w:val="22"/>
        </w:rPr>
      </w:pPr>
    </w:p>
    <w:p>
      <w:pPr>
        <w:pStyle w:val="Body"/>
        <w:rPr>
          <w:sz w:val="22"/>
          <w:szCs w:val="22"/>
        </w:rPr>
      </w:pPr>
      <w:r>
        <w:drawing xmlns:a="http://schemas.openxmlformats.org/drawingml/2006/main">
          <wp:inline distT="0" distB="0" distL="0" distR="0">
            <wp:extent cx="5229225" cy="4105167"/>
            <wp:effectExtent l="0" t="0" r="0" b="0"/>
            <wp:docPr id="1073741866" name="officeArt object" descr="Picture 34"/>
            <wp:cNvGraphicFramePr/>
            <a:graphic xmlns:a="http://schemas.openxmlformats.org/drawingml/2006/main">
              <a:graphicData uri="http://schemas.openxmlformats.org/drawingml/2006/picture">
                <pic:pic xmlns:pic="http://schemas.openxmlformats.org/drawingml/2006/picture">
                  <pic:nvPicPr>
                    <pic:cNvPr id="1073741866" name="Picture 34" descr="Picture 34"/>
                    <pic:cNvPicPr>
                      <a:picLocks noChangeAspect="1"/>
                    </pic:cNvPicPr>
                  </pic:nvPicPr>
                  <pic:blipFill>
                    <a:blip r:embed="rId44">
                      <a:extLst/>
                    </a:blip>
                    <a:stretch>
                      <a:fillRect/>
                    </a:stretch>
                  </pic:blipFill>
                  <pic:spPr>
                    <a:xfrm>
                      <a:off x="0" y="0"/>
                      <a:ext cx="5229225" cy="4105167"/>
                    </a:xfrm>
                    <a:prstGeom prst="rect">
                      <a:avLst/>
                    </a:prstGeom>
                    <a:ln w="12700" cap="flat">
                      <a:noFill/>
                      <a:miter lim="400000"/>
                    </a:ln>
                    <a:effectLst/>
                  </pic:spPr>
                </pic:pic>
              </a:graphicData>
            </a:graphic>
          </wp:inline>
        </w:drawing>
      </w:r>
    </w:p>
    <w:p>
      <w:pPr>
        <w:pStyle w:val="Body"/>
        <w:rPr>
          <w:sz w:val="22"/>
          <w:szCs w:val="22"/>
        </w:rPr>
      </w:pPr>
    </w:p>
    <w:p>
      <w:pPr>
        <w:pStyle w:val="Body"/>
        <w:rPr>
          <w:sz w:val="22"/>
          <w:szCs w:val="22"/>
        </w:rPr>
      </w:pPr>
      <w:r>
        <w:rPr>
          <w:sz w:val="22"/>
          <w:szCs w:val="22"/>
          <w:rtl w:val="0"/>
          <w:lang w:val="en-US"/>
        </w:rPr>
        <w:t>Figure 32: Example of Deformation Modulus and Preconsolidation Pressure</w:t>
      </w:r>
    </w:p>
    <w:p>
      <w:pPr>
        <w:pStyle w:val="Body"/>
        <w:rPr>
          <w:sz w:val="22"/>
          <w:szCs w:val="22"/>
        </w:rPr>
      </w:pPr>
    </w:p>
    <w:p>
      <w:pPr>
        <w:pStyle w:val="Body"/>
      </w:pPr>
      <w:r>
        <w:rPr>
          <w:rFonts w:ascii="Arial Unicode MS" w:cs="Arial Unicode MS" w:hAnsi="Arial Unicode MS" w:eastAsia="Arial Unicode MS"/>
          <w:b w:val="0"/>
          <w:bCs w:val="0"/>
          <w:i w:val="0"/>
          <w:iCs w:val="0"/>
          <w:sz w:val="22"/>
          <w:szCs w:val="22"/>
        </w:rPr>
        <w:br w:type="page"/>
      </w:r>
    </w:p>
    <w:p>
      <w:pPr>
        <w:pStyle w:val="Body"/>
        <w:rPr>
          <w:sz w:val="22"/>
          <w:szCs w:val="22"/>
        </w:rPr>
      </w:pPr>
      <w:r>
        <w:rPr>
          <w:sz w:val="22"/>
          <w:szCs w:val="22"/>
          <w:rtl w:val="0"/>
          <w:lang w:val="en-US"/>
        </w:rPr>
        <w:t>Schmertmann and Crapps (1988) estimate the accuracy of dilatometer correlations of geotechnical soil properties by comparing with superior measurements (Figure 33).</w:t>
      </w:r>
    </w:p>
    <w:p>
      <w:pPr>
        <w:pStyle w:val="Body"/>
        <w:rPr>
          <w:sz w:val="22"/>
          <w:szCs w:val="22"/>
        </w:rPr>
      </w:pPr>
    </w:p>
    <w:p>
      <w:pPr>
        <w:pStyle w:val="Body"/>
        <w:rPr>
          <w:sz w:val="22"/>
          <w:szCs w:val="22"/>
        </w:rPr>
      </w:pPr>
      <w:r>
        <w:rPr>
          <w:sz w:val="22"/>
          <w:szCs w:val="22"/>
        </w:rPr>
        <w:drawing xmlns:a="http://schemas.openxmlformats.org/drawingml/2006/main">
          <wp:inline distT="0" distB="0" distL="0" distR="0">
            <wp:extent cx="5867400" cy="4323447"/>
            <wp:effectExtent l="0" t="0" r="0" b="0"/>
            <wp:docPr id="1073741867" name="officeArt object" descr="Picture 2"/>
            <wp:cNvGraphicFramePr/>
            <a:graphic xmlns:a="http://schemas.openxmlformats.org/drawingml/2006/main">
              <a:graphicData uri="http://schemas.openxmlformats.org/drawingml/2006/picture">
                <pic:pic xmlns:pic="http://schemas.openxmlformats.org/drawingml/2006/picture">
                  <pic:nvPicPr>
                    <pic:cNvPr id="1073741867" name="Picture 2" descr="Picture 2"/>
                    <pic:cNvPicPr>
                      <a:picLocks noChangeAspect="1"/>
                    </pic:cNvPicPr>
                  </pic:nvPicPr>
                  <pic:blipFill>
                    <a:blip r:embed="rId45">
                      <a:extLst/>
                    </a:blip>
                    <a:stretch>
                      <a:fillRect/>
                    </a:stretch>
                  </pic:blipFill>
                  <pic:spPr>
                    <a:xfrm>
                      <a:off x="0" y="0"/>
                      <a:ext cx="5867400" cy="4323447"/>
                    </a:xfrm>
                    <a:prstGeom prst="rect">
                      <a:avLst/>
                    </a:prstGeom>
                    <a:ln w="12700" cap="flat">
                      <a:noFill/>
                      <a:miter lim="400000"/>
                    </a:ln>
                    <a:effectLst/>
                  </pic:spPr>
                </pic:pic>
              </a:graphicData>
            </a:graphic>
          </wp:inline>
        </w:drawing>
      </w:r>
    </w:p>
    <w:p>
      <w:pPr>
        <w:pStyle w:val="Body"/>
        <w:rPr>
          <w:sz w:val="22"/>
          <w:szCs w:val="22"/>
        </w:rPr>
      </w:pPr>
      <w:r>
        <w:rPr>
          <w:sz w:val="22"/>
          <w:szCs w:val="22"/>
          <w:rtl w:val="0"/>
          <w:lang w:val="en-US"/>
        </w:rPr>
        <w:t>Figure 33: Comparison of Dilatometer Correlations with Superior Tests (PennDOT Manual)</w:t>
      </w:r>
    </w:p>
    <w:p>
      <w:pPr>
        <w:pStyle w:val="Body"/>
        <w:rPr>
          <w:sz w:val="22"/>
          <w:szCs w:val="22"/>
        </w:rPr>
      </w:pPr>
    </w:p>
    <w:p>
      <w:pPr>
        <w:pStyle w:val="Body"/>
      </w:pPr>
      <w:r>
        <w:rPr>
          <w:rFonts w:ascii="Arial Unicode MS" w:cs="Arial Unicode MS" w:hAnsi="Arial Unicode MS" w:eastAsia="Arial Unicode MS"/>
          <w:b w:val="0"/>
          <w:bCs w:val="0"/>
          <w:i w:val="0"/>
          <w:iCs w:val="0"/>
        </w:rPr>
        <w:br w:type="page"/>
      </w:r>
    </w:p>
    <w:p>
      <w:pPr>
        <w:pStyle w:val="Body"/>
        <w:rPr>
          <w:sz w:val="28"/>
          <w:szCs w:val="28"/>
        </w:rPr>
      </w:pPr>
      <w:r>
        <w:rPr>
          <w:b w:val="1"/>
          <w:bCs w:val="1"/>
          <w:sz w:val="28"/>
          <w:szCs w:val="28"/>
          <w:rtl w:val="0"/>
          <w:lang w:val="en-US"/>
        </w:rPr>
        <w:t xml:space="preserve">Settlement Calculations: </w:t>
      </w:r>
      <w:r>
        <w:rPr>
          <w:sz w:val="28"/>
          <w:szCs w:val="28"/>
          <w:rtl w:val="0"/>
        </w:rPr>
        <w:t xml:space="preserve"> </w:t>
      </w:r>
    </w:p>
    <w:p>
      <w:pPr>
        <w:pStyle w:val="Body"/>
      </w:pPr>
    </w:p>
    <w:p>
      <w:pPr>
        <w:pStyle w:val="Body"/>
      </w:pPr>
      <w:r>
        <w:rPr>
          <w:rtl w:val="0"/>
          <w:lang w:val="en-US"/>
        </w:rPr>
        <w:t xml:space="preserve">Because the dilatometer test statically deforms the soil at intermediate strain level, similar to a building or embankment, its data accurately predict the amount of settlement that will likely occur.  </w:t>
      </w:r>
      <w:r>
        <w:rPr>
          <w:outline w:val="0"/>
          <w:color w:val="0000ff"/>
          <w:u w:color="0000ff"/>
          <w:rtl w:val="0"/>
          <w:lang w:val="de-DE"/>
          <w14:textFill>
            <w14:solidFill>
              <w14:srgbClr w14:val="0000FF"/>
            </w14:solidFill>
          </w14:textFill>
        </w:rPr>
        <w:t>Schmertmann (1986)</w:t>
      </w:r>
      <w:r>
        <w:rPr>
          <w:rtl w:val="0"/>
          <w:lang w:val="en-US"/>
        </w:rPr>
        <w:t xml:space="preserve"> presents two methods to compute settlement, the 1) ordinary and 2) special methods.  The ordinary method uses the following formula based Janbu</w:t>
      </w:r>
      <w:r>
        <w:rPr>
          <w:rtl w:val="1"/>
        </w:rPr>
        <w:t>’</w:t>
      </w:r>
      <w:r>
        <w:rPr>
          <w:rtl w:val="0"/>
          <w:lang w:val="en-US"/>
        </w:rPr>
        <w:t>s method:</w:t>
      </w:r>
    </w:p>
    <w:p>
      <w:pPr>
        <w:pStyle w:val="Body"/>
      </w:pPr>
    </w:p>
    <w:p>
      <w:pPr>
        <w:pStyle w:val="Body"/>
      </w:pPr>
      <w:r>
        <w:rPr>
          <w:rtl w:val="0"/>
        </w:rPr>
        <w:tab/>
        <w:t xml:space="preserve">S = </w:t>
      </w:r>
      <w:r>
        <w:rPr>
          <w:rFonts w:ascii="Symbol" w:hAnsi="Symbol" w:hint="default"/>
          <w:rtl w:val="0"/>
        </w:rPr>
        <w:t>Ds</w:t>
      </w:r>
      <w:r>
        <w:rPr>
          <w:vertAlign w:val="subscript"/>
          <w:rtl w:val="0"/>
        </w:rPr>
        <w:t>v</w:t>
      </w:r>
      <w:r>
        <w:rPr>
          <w:rtl w:val="0"/>
          <w:lang w:val="en-US"/>
        </w:rPr>
        <w:t xml:space="preserve"> * H / M, where</w:t>
      </w:r>
    </w:p>
    <w:p>
      <w:pPr>
        <w:pStyle w:val="Body"/>
      </w:pPr>
      <w:r>
        <w:rPr>
          <w:rtl w:val="0"/>
          <w:lang w:val="en-US"/>
        </w:rPr>
        <w:tab/>
        <w:t>S = predicted settlement,</w:t>
      </w:r>
    </w:p>
    <w:p>
      <w:pPr>
        <w:pStyle w:val="Body"/>
      </w:pPr>
      <w:r>
        <w:tab/>
      </w:r>
      <w:r>
        <w:rPr>
          <w:rFonts w:ascii="Symbol" w:hAnsi="Symbol" w:hint="default"/>
          <w:rtl w:val="0"/>
        </w:rPr>
        <w:t>Ds</w:t>
      </w:r>
      <w:r>
        <w:rPr>
          <w:vertAlign w:val="subscript"/>
          <w:rtl w:val="0"/>
        </w:rPr>
        <w:t>v</w:t>
      </w:r>
      <w:r>
        <w:rPr>
          <w:rtl w:val="0"/>
          <w:lang w:val="en-US"/>
        </w:rPr>
        <w:t xml:space="preserve"> = increase in vertical stress,</w:t>
      </w:r>
    </w:p>
    <w:p>
      <w:pPr>
        <w:pStyle w:val="Body"/>
      </w:pPr>
      <w:r>
        <w:rPr>
          <w:rtl w:val="0"/>
          <w:lang w:val="en-US"/>
        </w:rPr>
        <w:tab/>
        <w:t>H = the layer thickness, and</w:t>
      </w:r>
    </w:p>
    <w:p>
      <w:pPr>
        <w:pStyle w:val="Body"/>
      </w:pPr>
      <w:r>
        <w:rPr>
          <w:rtl w:val="0"/>
          <w:lang w:val="en-US"/>
        </w:rPr>
        <w:tab/>
        <w:t>M = the constrained deformation modulus.</w:t>
      </w:r>
    </w:p>
    <w:p>
      <w:pPr>
        <w:pStyle w:val="Body"/>
      </w:pPr>
    </w:p>
    <w:p>
      <w:pPr>
        <w:pStyle w:val="Body"/>
      </w:pPr>
      <w:r>
        <w:rPr>
          <w:rtl w:val="0"/>
          <w:lang w:val="en-US"/>
        </w:rPr>
        <w:t>The engineer cannot average M values to compute settlement because M is a denominator term (would result in a mathematical error).  The engineer should use each test and its depth interval as a separate layer in the above formula and then sum the delta settlements to compute the total settlement.  The special method accounts for the soil</w:t>
      </w:r>
      <w:r>
        <w:rPr>
          <w:rtl w:val="1"/>
        </w:rPr>
        <w:t>’</w:t>
      </w:r>
      <w:r>
        <w:rPr>
          <w:rtl w:val="0"/>
          <w:lang w:val="en-US"/>
        </w:rPr>
        <w:t xml:space="preserve">s preconsolidation pressure in its settlement calculations.  </w:t>
      </w:r>
      <w:r>
        <w:rPr>
          <w:outline w:val="0"/>
          <w:color w:val="0000ff"/>
          <w:u w:color="0000ff"/>
          <w:rtl w:val="0"/>
          <w:lang w:val="en-US"/>
          <w14:textFill>
            <w14:solidFill>
              <w14:srgbClr w14:val="0000FF"/>
            </w14:solidFill>
          </w14:textFill>
        </w:rPr>
        <w:t>Excel spreadsheets</w:t>
      </w:r>
      <w:r>
        <w:rPr>
          <w:rtl w:val="0"/>
          <w:lang w:val="en-US"/>
        </w:rPr>
        <w:t xml:space="preserve"> make settlement calculations for the ordinary and special methods for Boussinesq stress and Harr k</w:t>
      </w:r>
      <w:r>
        <w:rPr>
          <w:vertAlign w:val="subscript"/>
          <w:rtl w:val="0"/>
        </w:rPr>
        <w:t>0</w:t>
      </w:r>
      <w:r>
        <w:rPr>
          <w:rtl w:val="0"/>
          <w:lang w:val="en-US"/>
        </w:rPr>
        <w:t xml:space="preserve"> stress distributions. </w:t>
      </w:r>
      <w:r>
        <w:rPr>
          <w:outline w:val="0"/>
          <w:color w:val="0000ff"/>
          <w:u w:color="0000ff"/>
          <w:rtl w:val="0"/>
          <w14:textFill>
            <w14:solidFill>
              <w14:srgbClr w14:val="0000FF"/>
            </w14:solidFill>
          </w14:textFill>
        </w:rPr>
        <w:t xml:space="preserve"> </w:t>
      </w:r>
      <w:r>
        <w:rPr>
          <w:rtl w:val="0"/>
          <w:lang w:val="en-US"/>
        </w:rPr>
        <w:t>The Boussinesq stress distribution computes the increase in vertical stress assuming the soil behaves as an elastic material.  The Boussinesq distribution does not consider the material properties of the soil.  A vertical load placed on soil causes the soil particles to move downward and closer together as water exits the void spaces, move laterally out of the way or crush into smaller pieces occupying less space.  The Harr stress distribution follows random path probability theory (modeled similarly to water dripping from a leaky faucet) and uses the bell-shaped normal probability distribution.  His method includes the coefficient of lateral stress, which interestingly the dilatometer predicts.</w:t>
      </w:r>
    </w:p>
    <w:p>
      <w:pPr>
        <w:pStyle w:val="Body"/>
      </w:pPr>
    </w:p>
    <w:p>
      <w:pPr>
        <w:pStyle w:val="Body"/>
        <w:ind w:firstLine="720"/>
      </w:pPr>
      <w:r>
        <w:rPr>
          <w:rFonts w:ascii="Symbol" w:hAnsi="Symbol" w:hint="default"/>
          <w:rtl w:val="0"/>
        </w:rPr>
        <w:t>Ds</w:t>
      </w:r>
      <w:r>
        <w:rPr>
          <w:vertAlign w:val="subscript"/>
          <w:rtl w:val="0"/>
          <w:lang w:val="es-ES_tradnl"/>
        </w:rPr>
        <w:t>z</w:t>
      </w:r>
      <w:r>
        <w:rPr>
          <w:rtl w:val="0"/>
          <w:lang w:val="es-ES_tradnl"/>
        </w:rPr>
        <w:t xml:space="preserve"> = P/(2</w:t>
      </w:r>
      <w:r>
        <w:rPr>
          <w:rFonts w:ascii="Symbol" w:hAnsi="Symbol" w:hint="default"/>
          <w:rtl w:val="0"/>
        </w:rPr>
        <w:t>p</w:t>
      </w:r>
      <w:r>
        <w:rPr>
          <w:rtl w:val="0"/>
          <w:lang w:val="es-ES_tradnl"/>
        </w:rPr>
        <w:t>k</w:t>
      </w:r>
      <w:r>
        <w:rPr>
          <w:vertAlign w:val="subscript"/>
          <w:rtl w:val="0"/>
          <w:lang w:val="es-ES_tradnl"/>
        </w:rPr>
        <w:t>o</w:t>
      </w:r>
      <w:r>
        <w:rPr>
          <w:rtl w:val="0"/>
          <w:lang w:val="es-ES_tradnl"/>
        </w:rPr>
        <w:t>z</w:t>
      </w:r>
      <w:r>
        <w:rPr>
          <w:vertAlign w:val="superscript"/>
          <w:rtl w:val="0"/>
          <w:lang w:val="es-ES_tradnl"/>
        </w:rPr>
        <w:t>2</w:t>
      </w:r>
      <w:r>
        <w:rPr>
          <w:rtl w:val="0"/>
          <w:lang w:val="es-ES_tradnl"/>
        </w:rPr>
        <w:t>) * exp[-(x</w:t>
      </w:r>
      <w:r>
        <w:rPr>
          <w:vertAlign w:val="superscript"/>
          <w:rtl w:val="0"/>
          <w:lang w:val="es-ES_tradnl"/>
        </w:rPr>
        <w:t>2</w:t>
      </w:r>
      <w:r>
        <w:rPr>
          <w:rtl w:val="0"/>
          <w:lang w:val="es-ES_tradnl"/>
        </w:rPr>
        <w:t xml:space="preserve"> +y</w:t>
      </w:r>
      <w:r>
        <w:rPr>
          <w:vertAlign w:val="superscript"/>
          <w:rtl w:val="0"/>
          <w:lang w:val="es-ES_tradnl"/>
        </w:rPr>
        <w:t>2</w:t>
      </w:r>
      <w:r>
        <w:rPr>
          <w:rtl w:val="0"/>
          <w:lang w:val="es-ES_tradnl"/>
        </w:rPr>
        <w:t>)/2k</w:t>
      </w:r>
      <w:r>
        <w:rPr>
          <w:vertAlign w:val="subscript"/>
          <w:rtl w:val="0"/>
          <w:lang w:val="es-ES_tradnl"/>
        </w:rPr>
        <w:t>o</w:t>
      </w:r>
      <w:r>
        <w:rPr>
          <w:rtl w:val="0"/>
          <w:lang w:val="es-ES_tradnl"/>
        </w:rPr>
        <w:t>z</w:t>
      </w:r>
      <w:r>
        <w:rPr>
          <w:vertAlign w:val="superscript"/>
          <w:rtl w:val="0"/>
          <w:lang w:val="es-ES_tradnl"/>
        </w:rPr>
        <w:t>2</w:t>
      </w:r>
      <w:r>
        <w:rPr>
          <w:rtl w:val="0"/>
          <w:lang w:val="es-ES_tradnl"/>
        </w:rPr>
        <w:t>]</w:t>
      </w:r>
    </w:p>
    <w:p>
      <w:pPr>
        <w:pStyle w:val="Body"/>
        <w:rPr>
          <w:lang w:val="es-ES_tradnl"/>
        </w:rPr>
      </w:pPr>
    </w:p>
    <w:p>
      <w:pPr>
        <w:pStyle w:val="Body"/>
        <w:ind w:firstLine="720"/>
      </w:pPr>
      <w:r>
        <w:rPr>
          <w:rFonts w:ascii="Symbol" w:hAnsi="Symbol" w:hint="default"/>
          <w:rtl w:val="0"/>
        </w:rPr>
        <w:t>Ds</w:t>
      </w:r>
      <w:r>
        <w:rPr>
          <w:vertAlign w:val="subscript"/>
          <w:rtl w:val="0"/>
        </w:rPr>
        <w:t>x</w:t>
      </w:r>
      <w:r>
        <w:rPr>
          <w:rtl w:val="0"/>
        </w:rPr>
        <w:t xml:space="preserve"> = x</w:t>
      </w:r>
      <w:r>
        <w:rPr>
          <w:vertAlign w:val="superscript"/>
          <w:rtl w:val="0"/>
        </w:rPr>
        <w:t>2</w:t>
      </w:r>
      <w:r>
        <w:rPr>
          <w:rtl w:val="0"/>
        </w:rPr>
        <w:t>/z</w:t>
      </w:r>
      <w:r>
        <w:rPr>
          <w:vertAlign w:val="superscript"/>
          <w:rtl w:val="0"/>
        </w:rPr>
        <w:t>2</w:t>
      </w:r>
      <w:r>
        <w:rPr>
          <w:rtl w:val="0"/>
        </w:rPr>
        <w:t xml:space="preserve"> * </w:t>
      </w:r>
      <w:r>
        <w:rPr>
          <w:rFonts w:ascii="Symbol" w:hAnsi="Symbol" w:hint="default"/>
          <w:rtl w:val="0"/>
        </w:rPr>
        <w:t>Ds</w:t>
      </w:r>
      <w:r>
        <w:rPr>
          <w:vertAlign w:val="subscript"/>
          <w:rtl w:val="0"/>
        </w:rPr>
        <w:t>z</w:t>
      </w:r>
    </w:p>
    <w:p>
      <w:pPr>
        <w:pStyle w:val="Body"/>
        <w:ind w:firstLine="720"/>
      </w:pPr>
      <w:r>
        <w:rPr>
          <w:rFonts w:ascii="Symbol" w:hAnsi="Symbol" w:hint="default"/>
          <w:rtl w:val="0"/>
        </w:rPr>
        <w:t>Ds</w:t>
      </w:r>
      <w:r>
        <w:rPr>
          <w:vertAlign w:val="subscript"/>
          <w:rtl w:val="0"/>
        </w:rPr>
        <w:t>y</w:t>
      </w:r>
      <w:r>
        <w:rPr>
          <w:rtl w:val="0"/>
          <w:lang w:val="es-ES_tradnl"/>
        </w:rPr>
        <w:t xml:space="preserve"> = y</w:t>
      </w:r>
      <w:r>
        <w:rPr>
          <w:vertAlign w:val="superscript"/>
          <w:rtl w:val="0"/>
        </w:rPr>
        <w:t>2</w:t>
      </w:r>
      <w:r>
        <w:rPr>
          <w:rtl w:val="0"/>
        </w:rPr>
        <w:t>/z</w:t>
      </w:r>
      <w:r>
        <w:rPr>
          <w:vertAlign w:val="superscript"/>
          <w:rtl w:val="0"/>
        </w:rPr>
        <w:t>2</w:t>
      </w:r>
      <w:r>
        <w:rPr>
          <w:rtl w:val="0"/>
        </w:rPr>
        <w:t xml:space="preserve"> * </w:t>
      </w:r>
      <w:r>
        <w:rPr>
          <w:rFonts w:ascii="Symbol" w:hAnsi="Symbol" w:hint="default"/>
          <w:rtl w:val="0"/>
        </w:rPr>
        <w:t>Ds</w:t>
      </w:r>
      <w:r>
        <w:rPr>
          <w:vertAlign w:val="subscript"/>
          <w:rtl w:val="0"/>
        </w:rPr>
        <w:t>z</w:t>
      </w:r>
    </w:p>
    <w:p>
      <w:pPr>
        <w:pStyle w:val="Body"/>
      </w:pPr>
      <w:r>
        <w:rPr>
          <w:rtl w:val="0"/>
        </w:rPr>
        <w:t xml:space="preserve">  </w:t>
      </w:r>
    </w:p>
    <w:p>
      <w:pPr>
        <w:pStyle w:val="Body"/>
      </w:pPr>
      <w:r>
        <w:rPr>
          <w:rtl w:val="0"/>
          <w:lang w:val="en-US"/>
        </w:rPr>
        <w:t>For stress directly beneath the center of the force, the formula simplifies to:</w:t>
      </w:r>
    </w:p>
    <w:p>
      <w:pPr>
        <w:pStyle w:val="Body"/>
      </w:pPr>
    </w:p>
    <w:p>
      <w:pPr>
        <w:pStyle w:val="Body"/>
        <w:ind w:firstLine="720"/>
      </w:pPr>
      <w:r>
        <w:rPr>
          <w:rFonts w:ascii="Symbol" w:hAnsi="Symbol" w:hint="default"/>
          <w:rtl w:val="0"/>
        </w:rPr>
        <w:t>Ds</w:t>
      </w:r>
      <w:r>
        <w:rPr>
          <w:vertAlign w:val="subscript"/>
          <w:rtl w:val="0"/>
        </w:rPr>
        <w:t>z</w:t>
      </w:r>
      <w:r>
        <w:rPr>
          <w:rtl w:val="0"/>
        </w:rPr>
        <w:t xml:space="preserve"> = P/(2</w:t>
      </w:r>
      <w:r>
        <w:rPr>
          <w:rFonts w:ascii="Symbol" w:hAnsi="Symbol" w:hint="default"/>
          <w:rtl w:val="0"/>
        </w:rPr>
        <w:t>p</w:t>
      </w:r>
      <w:r>
        <w:rPr>
          <w:rtl w:val="0"/>
        </w:rPr>
        <w:t>k</w:t>
      </w:r>
      <w:r>
        <w:rPr>
          <w:vertAlign w:val="subscript"/>
          <w:rtl w:val="0"/>
        </w:rPr>
        <w:t>o</w:t>
      </w:r>
      <w:r>
        <w:rPr>
          <w:rtl w:val="0"/>
        </w:rPr>
        <w:t>z</w:t>
      </w:r>
      <w:r>
        <w:rPr>
          <w:vertAlign w:val="superscript"/>
          <w:rtl w:val="0"/>
        </w:rPr>
        <w:t>2</w:t>
      </w:r>
      <w:r>
        <w:rPr>
          <w:rtl w:val="0"/>
        </w:rPr>
        <w:t>),</w:t>
      </w:r>
    </w:p>
    <w:p>
      <w:pPr>
        <w:pStyle w:val="Body"/>
      </w:pPr>
    </w:p>
    <w:p>
      <w:pPr>
        <w:pStyle w:val="Body"/>
      </w:pPr>
      <w:r>
        <w:rPr>
          <w:rtl w:val="0"/>
          <w:lang w:val="en-US"/>
        </w:rPr>
        <w:t xml:space="preserve">Where </w:t>
      </w:r>
      <w:r>
        <w:rPr>
          <w:rFonts w:ascii="Symbol" w:hAnsi="Symbol" w:hint="default"/>
          <w:rtl w:val="0"/>
        </w:rPr>
        <w:t>Ds</w:t>
      </w:r>
      <w:r>
        <w:rPr>
          <w:vertAlign w:val="subscript"/>
          <w:rtl w:val="0"/>
        </w:rPr>
        <w:t>z</w:t>
      </w:r>
      <w:r>
        <w:rPr>
          <w:rtl w:val="0"/>
          <w:lang w:val="en-US"/>
        </w:rPr>
        <w:t xml:space="preserve"> is the most probable value of vertical stress increase,</w:t>
      </w:r>
    </w:p>
    <w:p>
      <w:pPr>
        <w:pStyle w:val="Body"/>
      </w:pPr>
      <w:r>
        <w:tab/>
      </w:r>
      <w:r>
        <w:rPr>
          <w:rFonts w:ascii="Symbol" w:hAnsi="Symbol" w:hint="default"/>
          <w:rtl w:val="0"/>
        </w:rPr>
        <w:t>Ds</w:t>
      </w:r>
      <w:r>
        <w:rPr>
          <w:vertAlign w:val="subscript"/>
          <w:rtl w:val="0"/>
        </w:rPr>
        <w:t>x</w:t>
      </w:r>
      <w:r>
        <w:rPr>
          <w:rtl w:val="0"/>
          <w:lang w:val="en-US"/>
        </w:rPr>
        <w:t xml:space="preserve"> is the most probable value of horizontal stress increase in the x direction,</w:t>
      </w:r>
    </w:p>
    <w:p>
      <w:pPr>
        <w:pStyle w:val="Body"/>
      </w:pPr>
      <w:r>
        <w:tab/>
      </w:r>
      <w:r>
        <w:rPr>
          <w:rFonts w:ascii="Symbol" w:hAnsi="Symbol" w:hint="default"/>
          <w:rtl w:val="0"/>
        </w:rPr>
        <w:t>Ds</w:t>
      </w:r>
      <w:r>
        <w:rPr>
          <w:vertAlign w:val="subscript"/>
          <w:rtl w:val="0"/>
        </w:rPr>
        <w:t>y</w:t>
      </w:r>
      <w:r>
        <w:rPr>
          <w:rtl w:val="0"/>
          <w:lang w:val="en-US"/>
        </w:rPr>
        <w:t xml:space="preserve"> is the most probable value of horizontal stress increase in the y direction,</w:t>
      </w:r>
    </w:p>
    <w:p>
      <w:pPr>
        <w:pStyle w:val="Body"/>
      </w:pPr>
      <w:r>
        <w:rPr>
          <w:rtl w:val="0"/>
        </w:rPr>
        <w:tab/>
        <w:t>k</w:t>
      </w:r>
      <w:r>
        <w:rPr>
          <w:vertAlign w:val="subscript"/>
          <w:rtl w:val="0"/>
        </w:rPr>
        <w:t>o</w:t>
      </w:r>
      <w:r>
        <w:rPr>
          <w:rtl w:val="0"/>
          <w:lang w:val="en-US"/>
        </w:rPr>
        <w:t xml:space="preserve"> is the coefficient of lateral stress at rest, and</w:t>
      </w:r>
    </w:p>
    <w:p>
      <w:pPr>
        <w:pStyle w:val="Body"/>
      </w:pPr>
      <w:r>
        <w:rPr>
          <w:rtl w:val="0"/>
          <w:lang w:val="en-US"/>
        </w:rPr>
        <w:tab/>
        <w:t>P is the applied load.</w:t>
      </w:r>
    </w:p>
    <w:p>
      <w:pPr>
        <w:pStyle w:val="Body"/>
      </w:pPr>
    </w:p>
    <w:p>
      <w:pPr>
        <w:pStyle w:val="Body"/>
      </w:pPr>
      <w:r>
        <w:rPr>
          <w:rtl w:val="0"/>
          <w:lang w:val="en-US"/>
        </w:rPr>
        <w:t xml:space="preserve">For uniform bearing pressures, </w:t>
      </w:r>
      <w:r>
        <w:rPr>
          <w:outline w:val="0"/>
          <w:color w:val="0000ff"/>
          <w:u w:color="0000ff"/>
          <w:rtl w:val="0"/>
          <w14:textFill>
            <w14:solidFill>
              <w14:srgbClr w14:val="0000FF"/>
            </w14:solidFill>
          </w14:textFill>
        </w:rPr>
        <w:t>Failmezger (2024)</w:t>
      </w:r>
      <w:r>
        <w:rPr>
          <w:rtl w:val="0"/>
          <w:lang w:val="en-US"/>
        </w:rPr>
        <w:t xml:space="preserve"> shows that Boussinesq method equates to approximately a k</w:t>
      </w:r>
      <w:r>
        <w:rPr>
          <w:vertAlign w:val="subscript"/>
          <w:rtl w:val="0"/>
        </w:rPr>
        <w:t>0</w:t>
      </w:r>
      <w:r>
        <w:rPr>
          <w:rtl w:val="0"/>
        </w:rPr>
        <w:t xml:space="preserve"> = 0.4 for Harr</w:t>
      </w:r>
      <w:r>
        <w:rPr>
          <w:rtl w:val="1"/>
        </w:rPr>
        <w:t>’</w:t>
      </w:r>
      <w:r>
        <w:rPr>
          <w:rtl w:val="0"/>
          <w:lang w:val="en-US"/>
        </w:rPr>
        <w:t xml:space="preserve">s method as shown on Figures 34a (circular), b (square) and c (L = 10B rectangular) </w:t>
      </w:r>
      <w:r>
        <w:rPr>
          <w:outline w:val="0"/>
          <w:color w:val="0000ff"/>
          <w:u w:color="0000ff"/>
          <w:rtl w:val="0"/>
          <w:lang w:val="en-US"/>
          <w14:textFill>
            <w14:solidFill>
              <w14:srgbClr w14:val="0000FF"/>
            </w14:solidFill>
          </w14:textFill>
        </w:rPr>
        <w:t>Stress bulbs and factors for Boussinesq and Harr ko for circular, L=B, L=2B, L=5B and L=10B</w:t>
      </w:r>
      <w:r>
        <w:rPr>
          <w:rtl w:val="0"/>
        </w:rPr>
        <w:t xml:space="preserve">. </w:t>
      </w:r>
    </w:p>
    <w:p>
      <w:pPr>
        <w:pStyle w:val="Body"/>
      </w:pPr>
    </w:p>
    <w:p>
      <w:pPr>
        <w:pStyle w:val="Body"/>
      </w:pPr>
      <w:r>
        <w:drawing xmlns:a="http://schemas.openxmlformats.org/drawingml/2006/main">
          <wp:inline distT="0" distB="0" distL="0" distR="0">
            <wp:extent cx="2867025" cy="3013746"/>
            <wp:effectExtent l="0" t="0" r="0" b="0"/>
            <wp:docPr id="1073741868" name="officeArt object" descr="Picture 3"/>
            <wp:cNvGraphicFramePr/>
            <a:graphic xmlns:a="http://schemas.openxmlformats.org/drawingml/2006/main">
              <a:graphicData uri="http://schemas.openxmlformats.org/drawingml/2006/picture">
                <pic:pic xmlns:pic="http://schemas.openxmlformats.org/drawingml/2006/picture">
                  <pic:nvPicPr>
                    <pic:cNvPr id="1073741868" name="Picture 3" descr="Picture 3"/>
                    <pic:cNvPicPr>
                      <a:picLocks noChangeAspect="1"/>
                    </pic:cNvPicPr>
                  </pic:nvPicPr>
                  <pic:blipFill>
                    <a:blip r:embed="rId46">
                      <a:extLst/>
                    </a:blip>
                    <a:stretch>
                      <a:fillRect/>
                    </a:stretch>
                  </pic:blipFill>
                  <pic:spPr>
                    <a:xfrm>
                      <a:off x="0" y="0"/>
                      <a:ext cx="2867025" cy="3013746"/>
                    </a:xfrm>
                    <a:prstGeom prst="rect">
                      <a:avLst/>
                    </a:prstGeom>
                    <a:ln w="12700" cap="flat">
                      <a:noFill/>
                      <a:miter lim="400000"/>
                    </a:ln>
                    <a:effectLst/>
                  </pic:spPr>
                </pic:pic>
              </a:graphicData>
            </a:graphic>
          </wp:inline>
        </w:drawing>
      </w:r>
      <w:r>
        <w:drawing xmlns:a="http://schemas.openxmlformats.org/drawingml/2006/main">
          <wp:inline distT="0" distB="0" distL="0" distR="0">
            <wp:extent cx="2867025" cy="3013746"/>
            <wp:effectExtent l="0" t="0" r="0" b="0"/>
            <wp:docPr id="1073741869" name="officeArt object" descr="Picture 11"/>
            <wp:cNvGraphicFramePr/>
            <a:graphic xmlns:a="http://schemas.openxmlformats.org/drawingml/2006/main">
              <a:graphicData uri="http://schemas.openxmlformats.org/drawingml/2006/picture">
                <pic:pic xmlns:pic="http://schemas.openxmlformats.org/drawingml/2006/picture">
                  <pic:nvPicPr>
                    <pic:cNvPr id="1073741869" name="Picture 11" descr="Picture 11"/>
                    <pic:cNvPicPr>
                      <a:picLocks noChangeAspect="1"/>
                    </pic:cNvPicPr>
                  </pic:nvPicPr>
                  <pic:blipFill>
                    <a:blip r:embed="rId47">
                      <a:extLst/>
                    </a:blip>
                    <a:stretch>
                      <a:fillRect/>
                    </a:stretch>
                  </pic:blipFill>
                  <pic:spPr>
                    <a:xfrm>
                      <a:off x="0" y="0"/>
                      <a:ext cx="2867025" cy="3013746"/>
                    </a:xfrm>
                    <a:prstGeom prst="rect">
                      <a:avLst/>
                    </a:prstGeom>
                    <a:ln w="12700" cap="flat">
                      <a:noFill/>
                      <a:miter lim="400000"/>
                    </a:ln>
                    <a:effectLst/>
                  </pic:spPr>
                </pic:pic>
              </a:graphicData>
            </a:graphic>
          </wp:inline>
        </w:drawing>
      </w:r>
    </w:p>
    <w:p>
      <w:pPr>
        <w:pStyle w:val="Body"/>
      </w:pPr>
    </w:p>
    <w:p>
      <w:pPr>
        <w:pStyle w:val="Body"/>
      </w:pPr>
      <w:r>
        <w:drawing xmlns:a="http://schemas.openxmlformats.org/drawingml/2006/main">
          <wp:anchor distT="57150" distB="57150" distL="57150" distR="57150" simplePos="0" relativeHeight="251678720" behindDoc="0" locked="0" layoutInCell="1" allowOverlap="1">
            <wp:simplePos x="0" y="0"/>
            <wp:positionH relativeFrom="page">
              <wp:posOffset>914400</wp:posOffset>
            </wp:positionH>
            <wp:positionV relativeFrom="line">
              <wp:posOffset>5715</wp:posOffset>
            </wp:positionV>
            <wp:extent cx="3114358" cy="3297555"/>
            <wp:effectExtent l="0" t="0" r="0" b="0"/>
            <wp:wrapSquare wrapText="right" distL="57150" distR="57150" distT="57150" distB="57150"/>
            <wp:docPr id="1073741870" name="officeArt object" descr="Picture 22"/>
            <wp:cNvGraphicFramePr/>
            <a:graphic xmlns:a="http://schemas.openxmlformats.org/drawingml/2006/main">
              <a:graphicData uri="http://schemas.openxmlformats.org/drawingml/2006/picture">
                <pic:pic xmlns:pic="http://schemas.openxmlformats.org/drawingml/2006/picture">
                  <pic:nvPicPr>
                    <pic:cNvPr id="1073741870" name="Picture 22" descr="Picture 22"/>
                    <pic:cNvPicPr>
                      <a:picLocks noChangeAspect="1"/>
                    </pic:cNvPicPr>
                  </pic:nvPicPr>
                  <pic:blipFill>
                    <a:blip r:embed="rId48">
                      <a:extLst/>
                    </a:blip>
                    <a:stretch>
                      <a:fillRect/>
                    </a:stretch>
                  </pic:blipFill>
                  <pic:spPr>
                    <a:xfrm>
                      <a:off x="0" y="0"/>
                      <a:ext cx="3114358" cy="3297555"/>
                    </a:xfrm>
                    <a:prstGeom prst="rect">
                      <a:avLst/>
                    </a:prstGeom>
                    <a:ln w="12700" cap="flat">
                      <a:noFill/>
                      <a:miter lim="400000"/>
                    </a:ln>
                    <a:effectLst/>
                  </pic:spPr>
                </pic:pic>
              </a:graphicData>
            </a:graphic>
          </wp:anchor>
        </w:drawing>
      </w:r>
    </w:p>
    <w:p>
      <w:pPr>
        <w:pStyle w:val="Body"/>
      </w:pPr>
    </w:p>
    <w:p>
      <w:pPr>
        <w:pStyle w:val="Body"/>
      </w:pPr>
    </w:p>
    <w:p>
      <w:pPr>
        <w:pStyle w:val="Body"/>
      </w:pPr>
      <w:r>
        <w:rPr>
          <w:rtl w:val="0"/>
          <w:lang w:val="en-US"/>
        </w:rPr>
        <w:t>Figure 34: Comparison of Stress Factors beneath Center of Circular, Square and Rectangular Footing for Boussinesq and Harr k</w:t>
      </w:r>
      <w:r>
        <w:rPr>
          <w:vertAlign w:val="subscript"/>
          <w:rtl w:val="0"/>
        </w:rPr>
        <w:t>0</w:t>
      </w:r>
      <w:r>
        <w:rPr>
          <w:rtl w:val="0"/>
          <w:lang w:val="en-US"/>
        </w:rPr>
        <w:t xml:space="preserve"> Methods</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r>
        <w:rPr>
          <w:rtl w:val="0"/>
          <w:lang w:val="en-US"/>
        </w:rPr>
        <w:t>Dilatometer tests with thrust measurements provide reasonable values of k</w:t>
      </w:r>
      <w:r>
        <w:rPr>
          <w:vertAlign w:val="subscript"/>
          <w:rtl w:val="0"/>
        </w:rPr>
        <w:t>0</w:t>
      </w:r>
      <w:r>
        <w:rPr>
          <w:rtl w:val="0"/>
          <w:lang w:val="en-US"/>
        </w:rPr>
        <w:t xml:space="preserve"> for the analyses.  Because k</w:t>
      </w:r>
      <w:r>
        <w:rPr>
          <w:vertAlign w:val="subscript"/>
          <w:rtl w:val="0"/>
        </w:rPr>
        <w:t>0</w:t>
      </w:r>
      <w:r>
        <w:rPr>
          <w:rtl w:val="0"/>
          <w:lang w:val="en-US"/>
        </w:rPr>
        <w:t xml:space="preserve"> values can have outliers due to cementation and gravel particles, the engineer should use the median rather than the mean or average value for k</w:t>
      </w:r>
      <w:r>
        <w:rPr>
          <w:vertAlign w:val="subscript"/>
          <w:rtl w:val="0"/>
        </w:rPr>
        <w:t>0</w:t>
      </w:r>
      <w:r>
        <w:rPr>
          <w:rtl w:val="0"/>
          <w:lang w:val="en-US"/>
        </w:rPr>
        <w:t xml:space="preserve"> for computing the stress distribution with the Harr method.  Marchetti (1998) illustrates the importance of horizontal stress in Figure 35.</w:t>
      </w:r>
    </w:p>
    <w:p>
      <w:pPr>
        <w:pStyle w:val="Body"/>
      </w:pPr>
      <w:r>
        <w:drawing xmlns:a="http://schemas.openxmlformats.org/drawingml/2006/main">
          <wp:anchor distT="57150" distB="57150" distL="57150" distR="57150" simplePos="0" relativeHeight="251675648" behindDoc="0" locked="0" layoutInCell="1" allowOverlap="1">
            <wp:simplePos x="0" y="0"/>
            <wp:positionH relativeFrom="column">
              <wp:posOffset>53975</wp:posOffset>
            </wp:positionH>
            <wp:positionV relativeFrom="line">
              <wp:posOffset>250190</wp:posOffset>
            </wp:positionV>
            <wp:extent cx="5979796" cy="2524125"/>
            <wp:effectExtent l="0" t="0" r="0" b="0"/>
            <wp:wrapSquare wrapText="bothSides" distL="57150" distR="57150" distT="57150" distB="57150"/>
            <wp:docPr id="1073741871" name="officeArt object" descr="Picture 211"/>
            <wp:cNvGraphicFramePr/>
            <a:graphic xmlns:a="http://schemas.openxmlformats.org/drawingml/2006/main">
              <a:graphicData uri="http://schemas.openxmlformats.org/drawingml/2006/picture">
                <pic:pic xmlns:pic="http://schemas.openxmlformats.org/drawingml/2006/picture">
                  <pic:nvPicPr>
                    <pic:cNvPr id="1073741871" name="Picture 211" descr="Picture 211"/>
                    <pic:cNvPicPr>
                      <a:picLocks noChangeAspect="1"/>
                    </pic:cNvPicPr>
                  </pic:nvPicPr>
                  <pic:blipFill>
                    <a:blip r:embed="rId49">
                      <a:extLst/>
                    </a:blip>
                    <a:stretch>
                      <a:fillRect/>
                    </a:stretch>
                  </pic:blipFill>
                  <pic:spPr>
                    <a:xfrm>
                      <a:off x="0" y="0"/>
                      <a:ext cx="5979796" cy="2524125"/>
                    </a:xfrm>
                    <a:prstGeom prst="rect">
                      <a:avLst/>
                    </a:prstGeom>
                    <a:ln w="12700" cap="flat">
                      <a:noFill/>
                      <a:miter lim="400000"/>
                    </a:ln>
                    <a:effectLst/>
                  </pic:spPr>
                </pic:pic>
              </a:graphicData>
            </a:graphic>
          </wp:anchor>
        </w:drawing>
      </w:r>
      <w:r>
        <w:tab/>
        <w:tab/>
        <w:tab/>
        <w:tab/>
        <w:tab/>
      </w:r>
    </w:p>
    <w:p>
      <w:pPr>
        <w:pStyle w:val="Body"/>
      </w:pPr>
    </w:p>
    <w:p>
      <w:pPr>
        <w:pStyle w:val="Body"/>
      </w:pPr>
    </w:p>
    <w:p>
      <w:pPr>
        <w:pStyle w:val="Body"/>
      </w:pPr>
      <w:r>
        <w:rPr>
          <w:rtl w:val="0"/>
          <w:lang w:val="en-US"/>
        </w:rPr>
        <w:t>Figure 35: Importance of Horizontal Stress</w:t>
      </w:r>
    </w:p>
    <w:p>
      <w:pPr>
        <w:pStyle w:val="Body"/>
      </w:pPr>
    </w:p>
    <w:p>
      <w:pPr>
        <w:pStyle w:val="Body"/>
      </w:pPr>
    </w:p>
    <w:p>
      <w:pPr>
        <w:pStyle w:val="Body"/>
      </w:pPr>
      <w:r>
        <w:rPr>
          <w:outline w:val="0"/>
          <w:color w:val="0000ff"/>
          <w:sz w:val="22"/>
          <w:szCs w:val="22"/>
          <w:u w:color="0000ff"/>
          <w14:textFill>
            <w14:solidFill>
              <w14:srgbClr w14:val="0000FF"/>
            </w14:solidFill>
          </w14:textFill>
        </w:rPr>
        <w:drawing xmlns:a="http://schemas.openxmlformats.org/drawingml/2006/main">
          <wp:anchor distT="57150" distB="57150" distL="57150" distR="57150" simplePos="0" relativeHeight="251659264" behindDoc="0" locked="0" layoutInCell="1" allowOverlap="1">
            <wp:simplePos x="0" y="0"/>
            <wp:positionH relativeFrom="column">
              <wp:posOffset>3478529</wp:posOffset>
            </wp:positionH>
            <wp:positionV relativeFrom="line">
              <wp:posOffset>2540</wp:posOffset>
            </wp:positionV>
            <wp:extent cx="2456815" cy="2291715"/>
            <wp:effectExtent l="0" t="0" r="0" b="0"/>
            <wp:wrapThrough wrapText="bothSides" distL="57150" distR="57150">
              <wp:wrapPolygon edited="1">
                <wp:start x="0" y="0"/>
                <wp:lineTo x="21600" y="0"/>
                <wp:lineTo x="21600" y="21600"/>
                <wp:lineTo x="0" y="21600"/>
                <wp:lineTo x="0" y="0"/>
              </wp:wrapPolygon>
            </wp:wrapThrough>
            <wp:docPr id="1073741872" name="officeArt object" descr="Picture 1"/>
            <wp:cNvGraphicFramePr/>
            <a:graphic xmlns:a="http://schemas.openxmlformats.org/drawingml/2006/main">
              <a:graphicData uri="http://schemas.openxmlformats.org/drawingml/2006/picture">
                <pic:pic xmlns:pic="http://schemas.openxmlformats.org/drawingml/2006/picture">
                  <pic:nvPicPr>
                    <pic:cNvPr id="1073741872" name="Picture 1" descr="Picture 1"/>
                    <pic:cNvPicPr>
                      <a:picLocks noChangeAspect="1"/>
                    </pic:cNvPicPr>
                  </pic:nvPicPr>
                  <pic:blipFill>
                    <a:blip r:embed="rId50">
                      <a:extLst/>
                    </a:blip>
                    <a:stretch>
                      <a:fillRect/>
                    </a:stretch>
                  </pic:blipFill>
                  <pic:spPr>
                    <a:xfrm>
                      <a:off x="0" y="0"/>
                      <a:ext cx="2456815" cy="2291715"/>
                    </a:xfrm>
                    <a:prstGeom prst="rect">
                      <a:avLst/>
                    </a:prstGeom>
                    <a:ln w="12700" cap="flat">
                      <a:noFill/>
                      <a:miter lim="400000"/>
                    </a:ln>
                    <a:effectLst/>
                  </pic:spPr>
                </pic:pic>
              </a:graphicData>
            </a:graphic>
          </wp:anchor>
        </w:drawing>
      </w:r>
      <w:r>
        <w:rPr>
          <w:outline w:val="0"/>
          <w:color w:val="0000ff"/>
          <w:u w:color="0000ff"/>
          <w:rtl w:val="0"/>
          <w:lang w:val="de-DE"/>
          <w14:textFill>
            <w14:solidFill>
              <w14:srgbClr w14:val="0000FF"/>
            </w14:solidFill>
          </w14:textFill>
        </w:rPr>
        <w:t>Schmertmann (1986)</w:t>
      </w:r>
      <w:r>
        <w:rPr>
          <w:rtl w:val="0"/>
          <w:lang w:val="en-US"/>
        </w:rPr>
        <w:t xml:space="preserve"> and </w:t>
      </w:r>
      <w:r>
        <w:rPr>
          <w:outline w:val="0"/>
          <w:color w:val="0000ff"/>
          <w:u w:color="0000ff"/>
          <w:rtl w:val="0"/>
          <w14:textFill>
            <w14:solidFill>
              <w14:srgbClr w14:val="0000FF"/>
            </w14:solidFill>
          </w14:textFill>
        </w:rPr>
        <w:t>Hayes (1986)</w:t>
      </w:r>
      <w:r>
        <w:rPr>
          <w:rtl w:val="0"/>
          <w:lang w:val="en-US"/>
        </w:rPr>
        <w:t xml:space="preserve"> made class </w:t>
      </w:r>
      <w:r>
        <w:rPr>
          <w:rtl w:val="1"/>
          <w:lang w:val="ar-SA" w:bidi="ar-SA"/>
        </w:rPr>
        <w:t>“</w:t>
      </w:r>
      <w:r>
        <w:rPr>
          <w:rtl w:val="0"/>
        </w:rPr>
        <w:t>A</w:t>
      </w:r>
      <w:r>
        <w:rPr>
          <w:rtl w:val="0"/>
        </w:rPr>
        <w:t xml:space="preserve">” </w:t>
      </w:r>
      <w:r>
        <w:rPr>
          <w:rtl w:val="0"/>
          <w:lang w:val="en-US"/>
        </w:rPr>
        <w:t>(first made prediction, then made measurement) settlement predictions using Schmertmann</w:t>
      </w:r>
      <w:r>
        <w:rPr>
          <w:rtl w:val="1"/>
        </w:rPr>
        <w:t>’</w:t>
      </w:r>
      <w:r>
        <w:rPr>
          <w:rtl w:val="0"/>
          <w:lang w:val="en-US"/>
        </w:rPr>
        <w:t xml:space="preserve">s method for 22 projects.  They accurately predicted settlement as they closely follow the 1:1 line shown as Figure 36.  Their average ratio of predicted settlement from dilatometer analysis versus actual measured long-term settlement equaled 1.07 with a standard deviation of 0.22.  </w:t>
      </w:r>
    </w:p>
    <w:p>
      <w:pPr>
        <w:pStyle w:val="Body"/>
      </w:pPr>
    </w:p>
    <w:p>
      <w:pPr>
        <w:pStyle w:val="Body"/>
      </w:pPr>
      <w:r>
        <w:rPr>
          <w:rtl w:val="0"/>
          <w:lang w:val="en-US"/>
        </w:rPr>
        <w:t>Figure 36: Schmertmann and Hayes settlement predictions versus measured settlement</w:t>
      </w:r>
    </w:p>
    <w:p>
      <w:pPr>
        <w:pStyle w:val="Body"/>
      </w:pPr>
    </w:p>
    <w:p>
      <w:pPr>
        <w:pStyle w:val="Body"/>
      </w:pPr>
      <w:r>
        <w:rPr>
          <w:outline w:val="0"/>
          <w:color w:val="0000ff"/>
          <w:u w:color="0000ff"/>
          <w:rtl w:val="0"/>
          <w:lang w:val="it-IT"/>
          <w14:textFill>
            <w14:solidFill>
              <w14:srgbClr w14:val="0000FF"/>
            </w14:solidFill>
          </w14:textFill>
        </w:rPr>
        <w:t>Monaco 2006</w:t>
      </w:r>
      <w:r>
        <w:rPr>
          <w:rtl w:val="0"/>
          <w:lang w:val="en-US"/>
        </w:rPr>
        <w:t>, most predictions based on Schmertmann</w:t>
      </w:r>
      <w:r>
        <w:rPr>
          <w:rtl w:val="1"/>
        </w:rPr>
        <w:t>’</w:t>
      </w:r>
      <w:r>
        <w:rPr>
          <w:rtl w:val="0"/>
          <w:lang w:val="en-US"/>
        </w:rPr>
        <w:t xml:space="preserve">s 1986 method, and </w:t>
      </w:r>
      <w:r>
        <w:rPr>
          <w:outline w:val="0"/>
          <w:color w:val="0000ff"/>
          <w:u w:color="0000ff"/>
          <w:rtl w:val="0"/>
          <w14:textFill>
            <w14:solidFill>
              <w14:srgbClr w14:val="0000FF"/>
            </w14:solidFill>
          </w14:textFill>
        </w:rPr>
        <w:t>Godlewski 2018</w:t>
      </w:r>
      <w:r>
        <w:rPr>
          <w:rtl w:val="0"/>
          <w:lang w:val="en-US"/>
        </w:rPr>
        <w:t xml:space="preserve">, most predictions based on finite element analyses, show similar accuracy for settlement predictions as Figures 37 and 38. </w:t>
      </w:r>
    </w:p>
    <w:p>
      <w:pPr>
        <w:pStyle w:val="Body"/>
      </w:pPr>
    </w:p>
    <w:p>
      <w:pPr>
        <w:pStyle w:val="Body"/>
      </w:pPr>
      <w:r>
        <w:drawing xmlns:a="http://schemas.openxmlformats.org/drawingml/2006/main">
          <wp:inline distT="0" distB="0" distL="0" distR="0">
            <wp:extent cx="2754630" cy="2646034"/>
            <wp:effectExtent l="0" t="0" r="0" b="0"/>
            <wp:docPr id="1073741873" name="officeArt object" descr="Picture 29"/>
            <wp:cNvGraphicFramePr/>
            <a:graphic xmlns:a="http://schemas.openxmlformats.org/drawingml/2006/main">
              <a:graphicData uri="http://schemas.openxmlformats.org/drawingml/2006/picture">
                <pic:pic xmlns:pic="http://schemas.openxmlformats.org/drawingml/2006/picture">
                  <pic:nvPicPr>
                    <pic:cNvPr id="1073741873" name="Picture 29" descr="Picture 29"/>
                    <pic:cNvPicPr>
                      <a:picLocks noChangeAspect="1"/>
                    </pic:cNvPicPr>
                  </pic:nvPicPr>
                  <pic:blipFill>
                    <a:blip r:embed="rId51">
                      <a:extLst/>
                    </a:blip>
                    <a:stretch>
                      <a:fillRect/>
                    </a:stretch>
                  </pic:blipFill>
                  <pic:spPr>
                    <a:xfrm>
                      <a:off x="0" y="0"/>
                      <a:ext cx="2754630" cy="2646034"/>
                    </a:xfrm>
                    <a:prstGeom prst="rect">
                      <a:avLst/>
                    </a:prstGeom>
                    <a:ln w="12700" cap="flat">
                      <a:noFill/>
                      <a:miter lim="400000"/>
                    </a:ln>
                    <a:effectLst/>
                  </pic:spPr>
                </pic:pic>
              </a:graphicData>
            </a:graphic>
          </wp:inline>
        </w:drawing>
      </w:r>
      <w:r>
        <w:drawing xmlns:a="http://schemas.openxmlformats.org/drawingml/2006/main">
          <wp:inline distT="0" distB="0" distL="0" distR="0">
            <wp:extent cx="3061209" cy="2608580"/>
            <wp:effectExtent l="0" t="0" r="0" b="0"/>
            <wp:docPr id="1073741874" name="officeArt object" descr="Picture 39"/>
            <wp:cNvGraphicFramePr/>
            <a:graphic xmlns:a="http://schemas.openxmlformats.org/drawingml/2006/main">
              <a:graphicData uri="http://schemas.openxmlformats.org/drawingml/2006/picture">
                <pic:pic xmlns:pic="http://schemas.openxmlformats.org/drawingml/2006/picture">
                  <pic:nvPicPr>
                    <pic:cNvPr id="1073741874" name="Picture 39" descr="Picture 39"/>
                    <pic:cNvPicPr>
                      <a:picLocks noChangeAspect="1"/>
                    </pic:cNvPicPr>
                  </pic:nvPicPr>
                  <pic:blipFill>
                    <a:blip r:embed="rId52">
                      <a:extLst/>
                    </a:blip>
                    <a:stretch>
                      <a:fillRect/>
                    </a:stretch>
                  </pic:blipFill>
                  <pic:spPr>
                    <a:xfrm>
                      <a:off x="0" y="0"/>
                      <a:ext cx="3061209" cy="2608580"/>
                    </a:xfrm>
                    <a:prstGeom prst="rect">
                      <a:avLst/>
                    </a:prstGeom>
                    <a:ln w="12700" cap="flat">
                      <a:noFill/>
                      <a:miter lim="400000"/>
                    </a:ln>
                    <a:effectLst/>
                  </pic:spPr>
                </pic:pic>
              </a:graphicData>
            </a:graphic>
          </wp:inline>
        </w:drawing>
      </w:r>
    </w:p>
    <w:p>
      <w:pPr>
        <w:pStyle w:val="Body"/>
      </w:pPr>
    </w:p>
    <w:p>
      <w:pPr>
        <w:pStyle w:val="Body"/>
      </w:pPr>
      <w:r>
        <w:rPr>
          <w:rtl w:val="0"/>
          <w:lang w:val="en-US"/>
        </w:rPr>
        <w:t>Figure 37: Monaco settlement predictions</w:t>
        <w:tab/>
        <w:tab/>
        <w:t>Figure 38: Godlewski settlement predictions</w:t>
      </w:r>
    </w:p>
    <w:p>
      <w:pPr>
        <w:pStyle w:val="Body"/>
      </w:pPr>
    </w:p>
    <w:p>
      <w:pPr>
        <w:pStyle w:val="Body"/>
      </w:pPr>
      <w:r>
        <w:rPr>
          <w:outline w:val="0"/>
          <w:color w:val="0000ff"/>
          <w:u w:color="0000ff"/>
          <w:rtl w:val="0"/>
          <w14:textFill>
            <w14:solidFill>
              <w14:srgbClr w14:val="0000FF"/>
            </w14:solidFill>
          </w14:textFill>
        </w:rPr>
        <w:t>Failmezger (2021)</w:t>
      </w:r>
      <w:r>
        <w:rPr>
          <w:rtl w:val="0"/>
          <w:lang w:val="en-US"/>
        </w:rPr>
        <w:t xml:space="preserve"> shows 129 projects where geotechnical design using dilatometer tests saved $25,000,000 instead of using design based on SPT (Table 1).  </w:t>
      </w:r>
    </w:p>
    <w:p>
      <w:pPr>
        <w:pStyle w:val="ISC6_tablecaption"/>
        <w:ind w:left="0" w:firstLine="0"/>
        <w:jc w:val="left"/>
        <w:rPr>
          <w:rFonts w:ascii="Calibri" w:cs="Calibri" w:hAnsi="Calibri" w:eastAsia="Calibri"/>
          <w:sz w:val="24"/>
          <w:szCs w:val="24"/>
        </w:rPr>
      </w:pPr>
    </w:p>
    <w:p>
      <w:pPr>
        <w:pStyle w:val="ISC6_tablecaption"/>
        <w:numPr>
          <w:ilvl w:val="0"/>
          <w:numId w:val="6"/>
        </w:numPr>
        <w:bidi w:val="0"/>
        <w:ind w:right="0"/>
        <w:jc w:val="left"/>
        <w:rPr>
          <w:rFonts w:ascii="Calibri" w:hAnsi="Calibri"/>
          <w:sz w:val="24"/>
          <w:szCs w:val="24"/>
          <w:rtl w:val="0"/>
          <w:lang w:val="en-US"/>
        </w:rPr>
      </w:pPr>
      <w:r>
        <w:rPr>
          <w:rFonts w:ascii="Calibri" w:hAnsi="Calibri"/>
          <w:sz w:val="24"/>
          <w:szCs w:val="24"/>
          <w:rtl w:val="0"/>
          <w:lang w:val="en-US"/>
        </w:rPr>
        <w:t>Cost savings by using DMT to redesign the foundation system</w:t>
      </w:r>
    </w:p>
    <w:tbl>
      <w:tblPr>
        <w:tblW w:w="7655"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4595"/>
        <w:gridCol w:w="3060"/>
      </w:tblGrid>
      <w:tr>
        <w:tblPrEx>
          <w:shd w:val="clear" w:color="auto" w:fill="cdd4e9"/>
        </w:tblPrEx>
        <w:trPr>
          <w:trHeight w:val="528"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00"/>
            <w:tcMar>
              <w:top w:type="dxa" w:w="80"/>
              <w:left w:type="dxa" w:w="420"/>
              <w:bottom w:type="dxa" w:w="80"/>
              <w:right w:type="dxa" w:w="80"/>
            </w:tcMar>
            <w:vAlign w:val="top"/>
          </w:tcPr>
          <w:p>
            <w:pPr>
              <w:pStyle w:val="ISC6_tablecaption"/>
              <w:ind w:left="340" w:firstLine="0"/>
              <w:jc w:val="left"/>
              <w:rPr>
                <w:rFonts w:ascii="Calibri" w:cs="Calibri" w:hAnsi="Calibri" w:eastAsia="Calibri"/>
                <w:b w:val="1"/>
                <w:bCs w:val="1"/>
                <w:sz w:val="19"/>
                <w:szCs w:val="19"/>
                <w:shd w:val="nil" w:color="auto" w:fill="auto"/>
                <w:lang w:val="en-US"/>
              </w:rPr>
            </w:pPr>
          </w:p>
          <w:p>
            <w:pPr>
              <w:pStyle w:val="ISC6_tablecaption"/>
              <w:bidi w:val="0"/>
              <w:ind w:left="340" w:right="0" w:firstLine="0"/>
              <w:jc w:val="left"/>
              <w:rPr>
                <w:rtl w:val="0"/>
              </w:rPr>
            </w:pPr>
            <w:r>
              <w:rPr>
                <w:rFonts w:ascii="Calibri" w:hAnsi="Calibri"/>
                <w:b w:val="1"/>
                <w:bCs w:val="1"/>
                <w:sz w:val="19"/>
                <w:szCs w:val="19"/>
                <w:shd w:val="nil" w:color="auto" w:fill="auto"/>
                <w:rtl w:val="0"/>
                <w:lang w:val="en-US"/>
              </w:rPr>
              <w:t xml:space="preserve">                     PROJECT NAME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00"/>
            <w:tcMar>
              <w:top w:type="dxa" w:w="80"/>
              <w:left w:type="dxa" w:w="80"/>
              <w:bottom w:type="dxa" w:w="80"/>
              <w:right w:type="dxa" w:w="80"/>
            </w:tcMar>
            <w:vAlign w:val="top"/>
          </w:tcPr>
          <w:p>
            <w:pPr>
              <w:pStyle w:val="Body"/>
              <w:widowControl w:val="0"/>
              <w:jc w:val="center"/>
            </w:pPr>
            <w:r>
              <w:rPr>
                <w:b w:val="1"/>
                <w:bCs w:val="1"/>
                <w:sz w:val="19"/>
                <w:szCs w:val="19"/>
                <w:shd w:val="nil" w:color="auto" w:fill="auto"/>
                <w:rtl w:val="0"/>
                <w:lang w:val="en-US"/>
              </w:rPr>
              <w:t>COST SAVINGS WITH DMT REDESIGN OF FOUNDATION SYSTEM</w:t>
            </w:r>
          </w:p>
        </w:tc>
      </w:tr>
      <w:tr>
        <w:tblPrEx>
          <w:shd w:val="clear" w:color="auto" w:fill="cdd4e9"/>
        </w:tblPrEx>
        <w:trPr>
          <w:trHeight w:val="188"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Westminister Village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$100,000</w:t>
            </w:r>
          </w:p>
        </w:tc>
      </w:tr>
      <w:tr>
        <w:tblPrEx>
          <w:shd w:val="clear" w:color="auto" w:fill="cdd4e9"/>
        </w:tblPrEx>
        <w:trPr>
          <w:trHeight w:val="188"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Ocean Landing Shopping Center</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$750,000</w:t>
            </w:r>
          </w:p>
        </w:tc>
      </w:tr>
      <w:tr>
        <w:tblPrEx>
          <w:shd w:val="clear" w:color="auto" w:fill="cdd4e9"/>
        </w:tblPrEx>
        <w:trPr>
          <w:trHeight w:val="188"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Old Town Crescent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$150,000</w:t>
            </w:r>
          </w:p>
        </w:tc>
      </w:tr>
      <w:tr>
        <w:tblPrEx>
          <w:shd w:val="clear" w:color="auto" w:fill="cdd4e9"/>
        </w:tblPrEx>
        <w:trPr>
          <w:trHeight w:val="188"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Fox Run Village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$100,000</w:t>
            </w:r>
          </w:p>
        </w:tc>
      </w:tr>
      <w:tr>
        <w:tblPrEx>
          <w:shd w:val="clear" w:color="auto" w:fill="cdd4e9"/>
        </w:tblPrEx>
        <w:trPr>
          <w:trHeight w:val="188"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Monarch Landing</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widowControl w:val="0"/>
              <w:jc w:val="center"/>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MD Live!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Towson Circle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Retirement Community, Glen Mills, PA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Xfinity Live!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Obery Court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Residences at Rivermarsh</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Residences at River Place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$80,000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Ocean Pines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Four Seasons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912 King Street-116 S Henry Street Mixed Use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Dumfries Town Square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Seacobeck Hall</w:t>
            </w:r>
            <w:r>
              <w:rPr>
                <w:sz w:val="19"/>
                <w:szCs w:val="19"/>
                <w:shd w:val="nil" w:color="auto" w:fill="auto"/>
                <w:rtl w:val="0"/>
                <w:lang w:val="en-US"/>
              </w:rPr>
              <w:t>—</w:t>
            </w:r>
            <w:r>
              <w:rPr>
                <w:sz w:val="19"/>
                <w:szCs w:val="19"/>
                <w:shd w:val="nil" w:color="auto" w:fill="auto"/>
                <w:rtl w:val="0"/>
                <w:lang w:val="en-US"/>
              </w:rPr>
              <w:t>Mary Washington University</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Motown</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Richmond Area Collegiate Science Building</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$85,000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Richmond Area Collegiate Research Building</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Food Processing Addition and Tank Farm</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13</w:t>
            </w:r>
            <w:r>
              <w:rPr>
                <w:sz w:val="19"/>
                <w:szCs w:val="19"/>
                <w:shd w:val="nil" w:color="auto" w:fill="auto"/>
                <w:vertAlign w:val="superscript"/>
                <w:rtl w:val="0"/>
                <w:lang w:val="en-US"/>
              </w:rPr>
              <w:t>th</w:t>
            </w:r>
            <w:r>
              <w:rPr>
                <w:sz w:val="19"/>
                <w:szCs w:val="19"/>
                <w:shd w:val="nil" w:color="auto" w:fill="auto"/>
                <w:rtl w:val="0"/>
                <w:lang w:val="en-US"/>
              </w:rPr>
              <w:t xml:space="preserve"> and U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55 M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Alexan Dunn Loring Development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Association of Manufacturing Technology Building</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Excelsior Parc Development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Glenmont WMATA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 xml:space="preserve">Halley Rise </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Howard Hughes HHMI Expansion</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I-64 Widening</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JHU-NIH-NCI</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Mark Center Plaza Building 5</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Mosaic Parcel CE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 xml:space="preserve">National Gateway Land Bay </w:t>
            </w:r>
            <w:r>
              <w:rPr>
                <w:sz w:val="19"/>
                <w:szCs w:val="19"/>
                <w:shd w:val="nil" w:color="auto" w:fill="auto"/>
                <w:rtl w:val="0"/>
                <w:lang w:val="en-US"/>
              </w:rPr>
              <w:t>“</w:t>
            </w:r>
            <w:r>
              <w:rPr>
                <w:sz w:val="19"/>
                <w:szCs w:val="19"/>
                <w:shd w:val="nil" w:color="auto" w:fill="auto"/>
                <w:rtl w:val="0"/>
                <w:lang w:val="en-US"/>
              </w:rPr>
              <w:t>E</w:t>
            </w:r>
            <w:r>
              <w:rPr>
                <w:sz w:val="19"/>
                <w:szCs w:val="19"/>
                <w:shd w:val="nil" w:color="auto" w:fill="auto"/>
                <w:rtl w:val="0"/>
                <w:lang w:val="en-US"/>
              </w:rPr>
              <w:t xml:space="preserve">” </w:t>
            </w:r>
            <w:r>
              <w:rPr>
                <w:sz w:val="19"/>
                <w:szCs w:val="19"/>
                <w:shd w:val="nil" w:color="auto" w:fill="auto"/>
                <w:rtl w:val="0"/>
                <w:lang w:val="en-US"/>
              </w:rPr>
              <w:t>West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Potomac Yard Bay D</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Ripley Street Development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Rock Spring Centre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Route 7 over Dulles Toll Road</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Route 7 Widening</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Tysons Archstone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Tysons Central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Upper Rock Blocks G &amp; H</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West Falls Church WMATA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McWane Hall</w:t>
            </w:r>
            <w:r>
              <w:rPr>
                <w:sz w:val="19"/>
                <w:szCs w:val="19"/>
                <w:shd w:val="nil" w:color="auto" w:fill="auto"/>
                <w:rtl w:val="0"/>
                <w:lang w:val="en-US"/>
              </w:rPr>
              <w:t>—</w:t>
            </w:r>
            <w:r>
              <w:rPr>
                <w:sz w:val="19"/>
                <w:szCs w:val="19"/>
                <w:shd w:val="nil" w:color="auto" w:fill="auto"/>
                <w:rtl w:val="0"/>
                <w:lang w:val="en-US"/>
              </w:rPr>
              <w:t>Lynchburg College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Brooktrout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Mecklenburg Schools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Abingdon Elementary School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$225,000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Abingdon Heights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$400,000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Fauquier High School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Prince William Commons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$400,000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PWCPS Administration Bldg</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$225,000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Warrenton Aquatic &amp; Recreation Facility</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Washington Center</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WMATA White Flint Parking Garage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$625,000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3800 Glenwood</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Homewood Suites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Johnson County WWTP</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1011 M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14</w:t>
            </w:r>
            <w:r>
              <w:rPr>
                <w:sz w:val="19"/>
                <w:szCs w:val="19"/>
                <w:shd w:val="nil" w:color="auto" w:fill="auto"/>
                <w:vertAlign w:val="superscript"/>
                <w:rtl w:val="0"/>
                <w:lang w:val="en-US"/>
              </w:rPr>
              <w:t>th</w:t>
            </w:r>
            <w:r>
              <w:rPr>
                <w:sz w:val="19"/>
                <w:szCs w:val="19"/>
                <w:shd w:val="nil" w:color="auto" w:fill="auto"/>
                <w:rtl w:val="0"/>
                <w:lang w:val="en-US"/>
              </w:rPr>
              <w:t xml:space="preserve"> and W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1600 7</w:t>
            </w:r>
            <w:r>
              <w:rPr>
                <w:sz w:val="19"/>
                <w:szCs w:val="19"/>
                <w:shd w:val="nil" w:color="auto" w:fill="auto"/>
                <w:vertAlign w:val="superscript"/>
                <w:rtl w:val="0"/>
                <w:lang w:val="en-US"/>
              </w:rPr>
              <w:t>th</w:t>
            </w:r>
            <w:r>
              <w:rPr>
                <w:sz w:val="19"/>
                <w:szCs w:val="19"/>
                <w:shd w:val="nil" w:color="auto" w:fill="auto"/>
                <w:rtl w:val="0"/>
                <w:lang w:val="en-US"/>
              </w:rPr>
              <w:t xml:space="preserve">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300 8</w:t>
            </w:r>
            <w:r>
              <w:rPr>
                <w:sz w:val="19"/>
                <w:szCs w:val="19"/>
                <w:shd w:val="nil" w:color="auto" w:fill="auto"/>
                <w:vertAlign w:val="superscript"/>
                <w:rtl w:val="0"/>
                <w:lang w:val="en-US"/>
              </w:rPr>
              <w:t>th</w:t>
            </w:r>
            <w:r>
              <w:rPr>
                <w:sz w:val="19"/>
                <w:szCs w:val="19"/>
                <w:shd w:val="nil" w:color="auto" w:fill="auto"/>
                <w:rtl w:val="0"/>
                <w:lang w:val="en-US"/>
              </w:rPr>
              <w:t xml:space="preserve">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$125,000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A-1 Glass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B-CC High School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Carlisle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Fairfax Blvd Center</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Forest Oak Middle School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Grimke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Kilmer Place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Liberty Tank</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Sumner Suites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$125,000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Windsor</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Wood Middle School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$75,000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Wootton</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$75,000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14</w:t>
            </w:r>
            <w:r>
              <w:rPr>
                <w:sz w:val="19"/>
                <w:szCs w:val="19"/>
                <w:shd w:val="nil" w:color="auto" w:fill="auto"/>
                <w:vertAlign w:val="superscript"/>
                <w:rtl w:val="0"/>
                <w:lang w:val="en-US"/>
              </w:rPr>
              <w:t>th</w:t>
            </w:r>
            <w:r>
              <w:rPr>
                <w:sz w:val="19"/>
                <w:szCs w:val="19"/>
                <w:shd w:val="nil" w:color="auto" w:fill="auto"/>
                <w:rtl w:val="0"/>
                <w:lang w:val="en-US"/>
              </w:rPr>
              <w:t xml:space="preserve"> and P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Culpepper Farmers</w:t>
            </w:r>
            <w:r>
              <w:rPr>
                <w:sz w:val="19"/>
                <w:szCs w:val="19"/>
                <w:shd w:val="nil" w:color="auto" w:fill="auto"/>
                <w:rtl w:val="0"/>
                <w:lang w:val="en-US"/>
              </w:rPr>
              <w:t xml:space="preserve">’ </w:t>
            </w:r>
            <w:r>
              <w:rPr>
                <w:sz w:val="19"/>
                <w:szCs w:val="19"/>
                <w:shd w:val="nil" w:color="auto" w:fill="auto"/>
                <w:rtl w:val="0"/>
                <w:lang w:val="en-US"/>
              </w:rPr>
              <w:t>Coop</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Indian Head Water Tanks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$75,000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Portals Phase 3</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$175,000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Thomas Jefferson Library</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$75,000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Avalon Mosaic Parcel H</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$800,000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Cabin John Middle School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Navy Federal Credit Union</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Cambridge Village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Ben Oaks Water Tower</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$75,000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Apple Greene Water Tower</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Oyster Bay Condos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North Beach Various Parcels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Fort Meade-DINFOS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Fort Meade-Building #8605</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Fort McNair-Building #48</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535 Broadwater Road</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 Judith Sound Circle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$8,000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318 Ironside Circle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Courthouse Professional Building</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$60,000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Dahlgren Hotel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$75,000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Doc Stone MOB</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$40,000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Hamptons at Hunton Park</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$60,000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Kaeser Compressors Warehouse Expansion</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$80,000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New Post Site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Oakwood Estates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$85,000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Sophia and Hanover Streets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$40,000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1112 First Street Hotel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Courthouse Village Bridge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Arbor House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William Square Hotel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James Madison University</w:t>
            </w:r>
            <w:r>
              <w:rPr>
                <w:sz w:val="19"/>
                <w:szCs w:val="19"/>
                <w:shd w:val="nil" w:color="auto" w:fill="auto"/>
                <w:rtl w:val="0"/>
                <w:lang w:val="en-US"/>
              </w:rPr>
              <w:t>—</w:t>
            </w:r>
            <w:r>
              <w:rPr>
                <w:sz w:val="19"/>
                <w:szCs w:val="19"/>
                <w:shd w:val="nil" w:color="auto" w:fill="auto"/>
                <w:rtl w:val="0"/>
                <w:lang w:val="en-US"/>
              </w:rPr>
              <w:t>Phillips Hall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1336 H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$80,000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Aspire at Lee</w:t>
            </w:r>
            <w:r>
              <w:rPr>
                <w:sz w:val="19"/>
                <w:szCs w:val="19"/>
                <w:shd w:val="nil" w:color="auto" w:fill="auto"/>
                <w:rtl w:val="0"/>
                <w:lang w:val="en-US"/>
              </w:rPr>
              <w:t>’</w:t>
            </w:r>
            <w:r>
              <w:rPr>
                <w:sz w:val="19"/>
                <w:szCs w:val="19"/>
                <w:shd w:val="nil" w:color="auto" w:fill="auto"/>
                <w:rtl w:val="0"/>
                <w:lang w:val="en-US"/>
              </w:rPr>
              <w:t>s Hill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DHL Stafford</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Mapledale Storage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Pruitt Laburnum Property</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$80,000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Wilson YMCA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Multi-Story Residential</w:t>
            </w:r>
            <w:r>
              <w:rPr>
                <w:sz w:val="19"/>
                <w:szCs w:val="19"/>
                <w:shd w:val="nil" w:color="auto" w:fill="auto"/>
                <w:rtl w:val="0"/>
                <w:lang w:val="en-US"/>
              </w:rPr>
              <w:t>—</w:t>
            </w:r>
            <w:r>
              <w:rPr>
                <w:sz w:val="19"/>
                <w:szCs w:val="19"/>
                <w:shd w:val="nil" w:color="auto" w:fill="auto"/>
                <w:rtl w:val="0"/>
                <w:lang w:val="en-US"/>
              </w:rPr>
              <w:t>Richmond, Virginia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Industrial Complex</w:t>
            </w:r>
            <w:r>
              <w:rPr>
                <w:sz w:val="19"/>
                <w:szCs w:val="19"/>
                <w:shd w:val="nil" w:color="auto" w:fill="auto"/>
                <w:rtl w:val="0"/>
                <w:lang w:val="en-US"/>
              </w:rPr>
              <w:t>—</w:t>
            </w:r>
            <w:r>
              <w:rPr>
                <w:sz w:val="19"/>
                <w:szCs w:val="19"/>
                <w:shd w:val="nil" w:color="auto" w:fill="auto"/>
                <w:rtl w:val="0"/>
                <w:lang w:val="en-US"/>
              </w:rPr>
              <w:t>Hanover, Virginia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Tank Farm</w:t>
            </w:r>
            <w:r>
              <w:rPr>
                <w:sz w:val="19"/>
                <w:szCs w:val="19"/>
                <w:shd w:val="nil" w:color="auto" w:fill="auto"/>
                <w:rtl w:val="0"/>
                <w:lang w:val="en-US"/>
              </w:rPr>
              <w:t>—</w:t>
            </w:r>
            <w:r>
              <w:rPr>
                <w:sz w:val="19"/>
                <w:szCs w:val="19"/>
                <w:shd w:val="nil" w:color="auto" w:fill="auto"/>
                <w:rtl w:val="0"/>
                <w:lang w:val="en-US"/>
              </w:rPr>
              <w:t>Cumberland, VA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Industrial Facility</w:t>
            </w:r>
            <w:r>
              <w:rPr>
                <w:sz w:val="19"/>
                <w:szCs w:val="19"/>
                <w:shd w:val="nil" w:color="auto" w:fill="auto"/>
                <w:rtl w:val="0"/>
                <w:lang w:val="en-US"/>
              </w:rPr>
              <w:t>—</w:t>
            </w:r>
            <w:r>
              <w:rPr>
                <w:sz w:val="19"/>
                <w:szCs w:val="19"/>
                <w:shd w:val="nil" w:color="auto" w:fill="auto"/>
                <w:rtl w:val="0"/>
                <w:lang w:val="en-US"/>
              </w:rPr>
              <w:t>Eastern NC</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Industrial Facility</w:t>
            </w:r>
            <w:r>
              <w:rPr>
                <w:sz w:val="19"/>
                <w:szCs w:val="19"/>
                <w:shd w:val="nil" w:color="auto" w:fill="auto"/>
                <w:rtl w:val="0"/>
                <w:lang w:val="en-US"/>
              </w:rPr>
              <w:t>—</w:t>
            </w:r>
            <w:r>
              <w:rPr>
                <w:sz w:val="19"/>
                <w:szCs w:val="19"/>
                <w:shd w:val="nil" w:color="auto" w:fill="auto"/>
                <w:rtl w:val="0"/>
                <w:lang w:val="en-US"/>
              </w:rPr>
              <w:t>King William, Virginia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Industrial Facility</w:t>
            </w:r>
            <w:r>
              <w:rPr>
                <w:sz w:val="19"/>
                <w:szCs w:val="19"/>
                <w:shd w:val="nil" w:color="auto" w:fill="auto"/>
                <w:rtl w:val="0"/>
                <w:lang w:val="en-US"/>
              </w:rPr>
              <w:t>—</w:t>
            </w:r>
            <w:r>
              <w:rPr>
                <w:sz w:val="19"/>
                <w:szCs w:val="19"/>
                <w:shd w:val="nil" w:color="auto" w:fill="auto"/>
                <w:rtl w:val="0"/>
                <w:lang w:val="en-US"/>
              </w:rPr>
              <w:t>King William, Virginia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Multi-Story Office and Parking</w:t>
            </w:r>
            <w:r>
              <w:rPr>
                <w:sz w:val="19"/>
                <w:szCs w:val="19"/>
                <w:shd w:val="nil" w:color="auto" w:fill="auto"/>
                <w:rtl w:val="0"/>
                <w:lang w:val="en-US"/>
              </w:rPr>
              <w:t>—</w:t>
            </w:r>
            <w:r>
              <w:rPr>
                <w:sz w:val="19"/>
                <w:szCs w:val="19"/>
                <w:shd w:val="nil" w:color="auto" w:fill="auto"/>
                <w:rtl w:val="0"/>
                <w:lang w:val="en-US"/>
              </w:rPr>
              <w:t>Richmond, Virginia</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$75,000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3700 National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Andrews Air Force Base</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 xml:space="preserve">Potomac Yard Land Bay </w:t>
            </w:r>
            <w:r>
              <w:rPr>
                <w:sz w:val="19"/>
                <w:szCs w:val="19"/>
                <w:shd w:val="nil" w:color="auto" w:fill="auto"/>
                <w:rtl w:val="0"/>
                <w:lang w:val="en-US"/>
              </w:rPr>
              <w:t>“</w:t>
            </w:r>
            <w:r>
              <w:rPr>
                <w:sz w:val="19"/>
                <w:szCs w:val="19"/>
                <w:shd w:val="nil" w:color="auto" w:fill="auto"/>
                <w:rtl w:val="0"/>
                <w:lang w:val="en-US"/>
              </w:rPr>
              <w:t>F</w:t>
            </w:r>
            <w:r>
              <w:rPr>
                <w:sz w:val="19"/>
                <w:szCs w:val="19"/>
                <w:shd w:val="nil" w:color="auto" w:fill="auto"/>
                <w:rtl w:val="0"/>
                <w:lang w:val="en-US"/>
              </w:rPr>
              <w: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Waterfront Station</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Rustburg Middle School</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w:t>
            </w:r>
            <w:r>
              <w:rPr>
                <w:sz w:val="19"/>
                <w:szCs w:val="19"/>
                <w:shd w:val="nil" w:color="auto" w:fill="auto"/>
                <w:rtl w:val="0"/>
                <w:lang w:val="en-US"/>
              </w:rPr>
              <w:t>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Mechlenburg Middle/High Schools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Annapolis Junction Building 3</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Annapolis Junction Building 4</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$250,000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116S Henry Street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$750,000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QTS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$500,000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Reston Crescent</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sz w:val="19"/>
                <w:szCs w:val="19"/>
                <w:shd w:val="nil" w:color="auto" w:fill="auto"/>
                <w:rtl w:val="0"/>
                <w:lang w:val="en-US"/>
              </w:rPr>
              <w:t>$90,000</w:t>
            </w:r>
          </w:p>
        </w:tc>
      </w:tr>
      <w:tr>
        <w:tblPrEx>
          <w:shd w:val="clear" w:color="auto" w:fill="cdd4e9"/>
        </w:tblPrEx>
        <w:trPr>
          <w:trHeight w:val="202" w:hRule="atLeast"/>
        </w:trPr>
        <w:tc>
          <w:tcPr>
            <w:tcW w:type="dxa" w:w="4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b w:val="1"/>
                <w:bCs w:val="1"/>
                <w:sz w:val="19"/>
                <w:szCs w:val="19"/>
                <w:shd w:val="clear" w:color="auto" w:fill="ffff00"/>
                <w:rtl w:val="0"/>
                <w:lang w:val="en-US"/>
              </w:rPr>
              <w:t>Total Cost Savings</w:t>
            </w:r>
          </w:p>
        </w:tc>
        <w:tc>
          <w:tcPr>
            <w:tcW w:type="dxa" w:w="3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DMT Table Title"/>
              <w:spacing w:before="0" w:after="0" w:line="240" w:lineRule="auto"/>
              <w:ind w:firstLine="0"/>
            </w:pPr>
            <w:r>
              <w:rPr>
                <w:b w:val="1"/>
                <w:bCs w:val="1"/>
                <w:sz w:val="19"/>
                <w:szCs w:val="19"/>
                <w:shd w:val="clear" w:color="auto" w:fill="ffff00"/>
                <w:rtl w:val="0"/>
                <w:lang w:val="en-US"/>
              </w:rPr>
              <w:t>$25,053,000</w:t>
            </w:r>
          </w:p>
        </w:tc>
      </w:tr>
    </w:tbl>
    <w:p>
      <w:pPr>
        <w:pStyle w:val="ISC6_tablecaption"/>
        <w:widowControl w:val="0"/>
        <w:numPr>
          <w:ilvl w:val="0"/>
          <w:numId w:val="7"/>
        </w:numPr>
      </w:pPr>
    </w:p>
    <w:p>
      <w:pPr>
        <w:pStyle w:val="Body"/>
        <w:rPr>
          <w:b w:val="1"/>
          <w:bCs w:val="1"/>
        </w:rPr>
      </w:pPr>
    </w:p>
    <w:p>
      <w:pPr>
        <w:pStyle w:val="Body"/>
      </w:pPr>
      <w:r>
        <w:rPr>
          <w:rFonts w:ascii="Arial Unicode MS" w:cs="Arial Unicode MS" w:hAnsi="Arial Unicode MS" w:eastAsia="Arial Unicode MS"/>
          <w:b w:val="0"/>
          <w:bCs w:val="0"/>
          <w:i w:val="0"/>
          <w:iCs w:val="0"/>
        </w:rPr>
        <w:br w:type="page"/>
      </w:r>
    </w:p>
    <w:p>
      <w:pPr>
        <w:pStyle w:val="Body"/>
        <w:rPr>
          <w:b w:val="1"/>
          <w:bCs w:val="1"/>
          <w:sz w:val="28"/>
          <w:szCs w:val="28"/>
        </w:rPr>
      </w:pPr>
      <w:r>
        <w:rPr>
          <w:b w:val="1"/>
          <w:bCs w:val="1"/>
        </w:rPr>
        <w:drawing xmlns:a="http://schemas.openxmlformats.org/drawingml/2006/main">
          <wp:anchor distT="57150" distB="57150" distL="57150" distR="57150" simplePos="0" relativeHeight="251660288" behindDoc="0" locked="0" layoutInCell="1" allowOverlap="1">
            <wp:simplePos x="0" y="0"/>
            <wp:positionH relativeFrom="page">
              <wp:posOffset>3978910</wp:posOffset>
            </wp:positionH>
            <wp:positionV relativeFrom="page">
              <wp:posOffset>924560</wp:posOffset>
            </wp:positionV>
            <wp:extent cx="3154680" cy="3419475"/>
            <wp:effectExtent l="0" t="0" r="0" b="0"/>
            <wp:wrapThrough wrapText="bothSides" distL="57150" distR="57150">
              <wp:wrapPolygon edited="1">
                <wp:start x="0" y="0"/>
                <wp:lineTo x="21600" y="0"/>
                <wp:lineTo x="21600" y="21600"/>
                <wp:lineTo x="0" y="21600"/>
                <wp:lineTo x="0" y="0"/>
              </wp:wrapPolygon>
            </wp:wrapThrough>
            <wp:docPr id="1073741875" name="officeArt object" descr="Picture 41"/>
            <wp:cNvGraphicFramePr/>
            <a:graphic xmlns:a="http://schemas.openxmlformats.org/drawingml/2006/main">
              <a:graphicData uri="http://schemas.openxmlformats.org/drawingml/2006/picture">
                <pic:pic xmlns:pic="http://schemas.openxmlformats.org/drawingml/2006/picture">
                  <pic:nvPicPr>
                    <pic:cNvPr id="1073741875" name="Picture 41" descr="Picture 41"/>
                    <pic:cNvPicPr>
                      <a:picLocks noChangeAspect="1"/>
                    </pic:cNvPicPr>
                  </pic:nvPicPr>
                  <pic:blipFill>
                    <a:blip r:embed="rId53">
                      <a:extLst/>
                    </a:blip>
                    <a:stretch>
                      <a:fillRect/>
                    </a:stretch>
                  </pic:blipFill>
                  <pic:spPr>
                    <a:xfrm>
                      <a:off x="0" y="0"/>
                      <a:ext cx="3154680" cy="3419475"/>
                    </a:xfrm>
                    <a:prstGeom prst="rect">
                      <a:avLst/>
                    </a:prstGeom>
                    <a:ln w="12700" cap="flat">
                      <a:noFill/>
                      <a:miter lim="400000"/>
                    </a:ln>
                    <a:effectLst/>
                  </pic:spPr>
                </pic:pic>
              </a:graphicData>
            </a:graphic>
          </wp:anchor>
        </w:drawing>
      </w:r>
      <w:r>
        <w:rPr>
          <w:b w:val="1"/>
          <w:bCs w:val="1"/>
          <w:sz w:val="28"/>
          <w:szCs w:val="28"/>
          <w:rtl w:val="0"/>
          <w:lang w:val="en-US"/>
        </w:rPr>
        <w:t>Lateral Load Capacity of Deep Foundations:</w:t>
      </w:r>
    </w:p>
    <w:p>
      <w:pPr>
        <w:pStyle w:val="Body"/>
        <w:rPr>
          <w:b w:val="1"/>
          <w:bCs w:val="1"/>
        </w:rPr>
      </w:pPr>
    </w:p>
    <w:p>
      <w:pPr>
        <w:pStyle w:val="Body"/>
      </w:pPr>
      <w:r>
        <w:rPr>
          <w:rtl w:val="0"/>
          <w:lang w:val="en-US"/>
        </w:rPr>
        <w:t xml:space="preserve">Dr. Silvano Marchetti originally developed the dilatometer to predict the lateral load capacity of piles.  Because the DMT pushes the soil horizontally, it models a pile pushing against soil.  </w:t>
      </w:r>
      <w:r>
        <w:rPr>
          <w:outline w:val="0"/>
          <w:color w:val="0000ff"/>
          <w:u w:color="0000ff"/>
          <w:rtl w:val="0"/>
          <w:lang w:val="fr-FR"/>
          <w14:textFill>
            <w14:solidFill>
              <w14:srgbClr w14:val="0000FF"/>
            </w14:solidFill>
          </w14:textFill>
        </w:rPr>
        <w:t>Marchetti, et al., 1991</w:t>
      </w:r>
      <w:r>
        <w:rPr>
          <w:rtl w:val="0"/>
          <w:lang w:val="en-US"/>
        </w:rPr>
        <w:t xml:space="preserve"> modeled the lateral capacity of a pile against cohesive soil and </w:t>
      </w:r>
      <w:r>
        <w:rPr>
          <w:outline w:val="0"/>
          <w:color w:val="0000ff"/>
          <w:u w:color="0000ff"/>
          <w:rtl w:val="0"/>
          <w14:textFill>
            <w14:solidFill>
              <w14:srgbClr w14:val="0000FF"/>
            </w14:solidFill>
          </w14:textFill>
        </w:rPr>
        <w:t>Robertson, et al., 1989</w:t>
      </w:r>
      <w:r>
        <w:rPr>
          <w:rtl w:val="0"/>
          <w:lang w:val="en-US"/>
        </w:rPr>
        <w:t xml:space="preserve"> modeled the lateral capacity against both cohesive and cohesionless soils </w:t>
      </w:r>
      <w:r>
        <w:rPr>
          <w:outline w:val="0"/>
          <w:color w:val="0000ff"/>
          <w:u w:color="0000ff"/>
          <w:rtl w:val="0"/>
          <w:lang w:val="en-US"/>
          <w14:textFill>
            <w14:solidFill>
              <w14:srgbClr w14:val="0000FF"/>
            </w14:solidFill>
          </w14:textFill>
        </w:rPr>
        <w:t>(Robertson Excel spreadsheet).</w:t>
      </w:r>
      <w:r>
        <w:rPr>
          <w:rtl w:val="0"/>
          <w:lang w:val="en-US"/>
        </w:rPr>
        <w:t xml:space="preserve">  The engineer can determine accurate P-y curves and continuous P-y profiles from those methods and use them with numerical computer programs such as LPILE and COM624.  Figure 39 shows how well both methods predict lateral load capacity.</w:t>
      </w:r>
    </w:p>
    <w:p>
      <w:pPr>
        <w:pStyle w:val="Body"/>
      </w:pPr>
    </w:p>
    <w:p>
      <w:pPr>
        <w:pStyle w:val="Body"/>
        <w:ind w:left="2160" w:firstLine="0"/>
      </w:pPr>
      <w:r>
        <w:rPr>
          <w:rtl w:val="0"/>
          <w:lang w:val="en-US"/>
        </w:rPr>
        <w:t xml:space="preserve">       Figure 39: Accurate lateral capacity predictions with dilatometer tests</w:t>
      </w:r>
    </w:p>
    <w:p>
      <w:pPr>
        <w:pStyle w:val="Body"/>
      </w:pPr>
    </w:p>
    <w:p>
      <w:pPr>
        <w:pStyle w:val="Body"/>
      </w:pPr>
    </w:p>
    <w:p>
      <w:pPr>
        <w:pStyle w:val="Body"/>
      </w:pPr>
      <w:r>
        <w:rPr>
          <w:rFonts w:ascii="Arial Unicode MS" w:cs="Arial Unicode MS" w:hAnsi="Arial Unicode MS" w:eastAsia="Arial Unicode MS"/>
          <w:b w:val="0"/>
          <w:bCs w:val="0"/>
          <w:i w:val="0"/>
          <w:iCs w:val="0"/>
        </w:rPr>
        <w:br w:type="page"/>
      </w:r>
    </w:p>
    <w:p>
      <w:pPr>
        <w:pStyle w:val="Body"/>
        <w:rPr>
          <w:b w:val="1"/>
          <w:bCs w:val="1"/>
          <w:sz w:val="28"/>
          <w:szCs w:val="28"/>
        </w:rPr>
      </w:pPr>
      <w:r>
        <w:rPr>
          <w:b w:val="1"/>
          <w:bCs w:val="1"/>
          <w:sz w:val="28"/>
          <w:szCs w:val="28"/>
          <w:rtl w:val="0"/>
          <w:lang w:val="en-US"/>
        </w:rPr>
        <w:t xml:space="preserve">Ground Improvement Evaluations: </w:t>
      </w:r>
    </w:p>
    <w:p>
      <w:pPr>
        <w:pStyle w:val="Body"/>
        <w:rPr>
          <w:b w:val="1"/>
          <w:bCs w:val="1"/>
        </w:rPr>
      </w:pPr>
    </w:p>
    <w:p>
      <w:pPr>
        <w:pStyle w:val="Body"/>
      </w:pPr>
      <w:r>
        <w:rPr>
          <w:b w:val="1"/>
          <w:bCs w:val="1"/>
        </w:rPr>
        <w:drawing xmlns:a="http://schemas.openxmlformats.org/drawingml/2006/main">
          <wp:anchor distT="57150" distB="57150" distL="57150" distR="57150" simplePos="0" relativeHeight="251665408" behindDoc="0" locked="0" layoutInCell="1" allowOverlap="1">
            <wp:simplePos x="0" y="0"/>
            <wp:positionH relativeFrom="page">
              <wp:posOffset>3493135</wp:posOffset>
            </wp:positionH>
            <wp:positionV relativeFrom="line">
              <wp:posOffset>1206500</wp:posOffset>
            </wp:positionV>
            <wp:extent cx="3079750" cy="2225040"/>
            <wp:effectExtent l="0" t="0" r="0" b="0"/>
            <wp:wrapSquare wrapText="bothSides" distL="57150" distR="57150" distT="57150" distB="57150"/>
            <wp:docPr id="1073741876" name="officeArt object" descr="Picture 48"/>
            <wp:cNvGraphicFramePr/>
            <a:graphic xmlns:a="http://schemas.openxmlformats.org/drawingml/2006/main">
              <a:graphicData uri="http://schemas.openxmlformats.org/drawingml/2006/picture">
                <pic:pic xmlns:pic="http://schemas.openxmlformats.org/drawingml/2006/picture">
                  <pic:nvPicPr>
                    <pic:cNvPr id="1073741876" name="Picture 48" descr="Picture 48"/>
                    <pic:cNvPicPr>
                      <a:picLocks noChangeAspect="1"/>
                    </pic:cNvPicPr>
                  </pic:nvPicPr>
                  <pic:blipFill>
                    <a:blip r:embed="rId54">
                      <a:extLst/>
                    </a:blip>
                    <a:stretch>
                      <a:fillRect/>
                    </a:stretch>
                  </pic:blipFill>
                  <pic:spPr>
                    <a:xfrm>
                      <a:off x="0" y="0"/>
                      <a:ext cx="3079750" cy="2225040"/>
                    </a:xfrm>
                    <a:prstGeom prst="rect">
                      <a:avLst/>
                    </a:prstGeom>
                    <a:ln w="12700" cap="flat">
                      <a:noFill/>
                      <a:miter lim="400000"/>
                    </a:ln>
                    <a:effectLst/>
                  </pic:spPr>
                </pic:pic>
              </a:graphicData>
            </a:graphic>
          </wp:anchor>
        </w:drawing>
      </w:r>
      <w:r>
        <w:rPr>
          <w:rtl w:val="0"/>
          <w:lang w:val="en-US"/>
        </w:rPr>
        <w:t xml:space="preserve">For ground improvement projects, dilatometer tests evaluate the effectiveness of the improvement method by performing tests before, during and at completion of the improvement.   Ground improvement techniques often increase lateral stresses, increase the shear strength and deformation modulus and decrease the void ratio.  As presented earlier, increasing the horizontal stresses reduce the size of the stress bulb further reducing settlement.  An </w:t>
      </w:r>
      <w:r>
        <w:rPr>
          <w:rtl w:val="1"/>
          <w:lang w:val="ar-SA" w:bidi="ar-SA"/>
        </w:rPr>
        <w:t>“</w:t>
      </w:r>
      <w:r>
        <w:rPr>
          <w:rtl w:val="0"/>
          <w:lang w:val="pt-PT"/>
        </w:rPr>
        <w:t>ageing</w:t>
      </w:r>
      <w:r>
        <w:rPr>
          <w:rtl w:val="0"/>
        </w:rPr>
        <w:t xml:space="preserve">” </w:t>
      </w:r>
      <w:r>
        <w:rPr>
          <w:rtl w:val="0"/>
          <w:lang w:val="en-US"/>
        </w:rPr>
        <w:t xml:space="preserve">process further increases the shear strength and stiffness </w:t>
      </w:r>
      <w:r>
        <w:rPr>
          <w:outline w:val="0"/>
          <w:color w:val="0000ff"/>
          <w:u w:color="0000ff"/>
          <w:rtl w:val="0"/>
          <w:lang w:val="de-DE"/>
          <w14:textFill>
            <w14:solidFill>
              <w14:srgbClr w14:val="0000FF"/>
            </w14:solidFill>
          </w14:textFill>
        </w:rPr>
        <w:t>(Schmertmann, 1991-Terzaghi Lecture)</w:t>
      </w:r>
      <w:r>
        <w:rPr>
          <w:rtl w:val="0"/>
        </w:rPr>
        <w:t xml:space="preserve">.   </w:t>
      </w:r>
      <w:r>
        <w:rPr>
          <w:rtl w:val="1"/>
          <w:lang w:val="ar-SA" w:bidi="ar-SA"/>
        </w:rPr>
        <w:t>“</w:t>
      </w:r>
      <w:r>
        <w:rPr>
          <w:rtl w:val="0"/>
          <w:lang w:val="nl-NL"/>
        </w:rPr>
        <w:t>Aged</w:t>
      </w:r>
      <w:r>
        <w:rPr>
          <w:rtl w:val="0"/>
        </w:rPr>
        <w:t xml:space="preserve">” </w:t>
      </w:r>
      <w:r>
        <w:rPr>
          <w:rtl w:val="0"/>
          <w:lang w:val="en-US"/>
        </w:rPr>
        <w:t>soil can have significantly higher deformation moduli even if its void ratio exceeds soil with the same gradation but recently compacted (Figure 40).  Because improved soils will have fairly heterogeneous properties, vertically and horizontally, many tests are needed to confirm that the soils have been adequately improved at all desired locations.</w:t>
      </w:r>
    </w:p>
    <w:p>
      <w:pPr>
        <w:pStyle w:val="Body"/>
      </w:pPr>
    </w:p>
    <w:p>
      <w:pPr>
        <w:pStyle w:val="Body"/>
      </w:pPr>
    </w:p>
    <w:p>
      <w:pPr>
        <w:pStyle w:val="Body"/>
      </w:pPr>
      <w:r>
        <w:rPr>
          <w:rtl w:val="0"/>
          <w:lang w:val="it-IT"/>
        </w:rPr>
        <w:t xml:space="preserve">Figure 40: </w:t>
      </w:r>
      <w:r>
        <w:rPr>
          <w:rtl w:val="1"/>
          <w:lang w:val="ar-SA" w:bidi="ar-SA"/>
        </w:rPr>
        <w:t>“</w:t>
      </w:r>
      <w:r>
        <w:rPr>
          <w:rtl w:val="0"/>
          <w:lang w:val="nl-NL"/>
        </w:rPr>
        <w:t>Aged</w:t>
      </w:r>
      <w:r>
        <w:rPr>
          <w:rtl w:val="0"/>
        </w:rPr>
        <w:t xml:space="preserve">” </w:t>
      </w:r>
      <w:r>
        <w:rPr>
          <w:rtl w:val="0"/>
          <w:lang w:val="en-US"/>
        </w:rPr>
        <w:t>soil has higher deformation modulus than recent compacted fill that has lower void ratio</w:t>
      </w:r>
    </w:p>
    <w:p>
      <w:pPr>
        <w:pStyle w:val="Body"/>
      </w:pPr>
      <w:r>
        <w:rPr>
          <w:rtl w:val="0"/>
        </w:rPr>
        <w:t xml:space="preserve"> </w:t>
      </w:r>
    </w:p>
    <w:p>
      <w:pPr>
        <w:pStyle w:val="Body"/>
      </w:pPr>
      <w:r>
        <w:drawing xmlns:a="http://schemas.openxmlformats.org/drawingml/2006/main">
          <wp:anchor distT="57150" distB="57150" distL="57150" distR="57150" simplePos="0" relativeHeight="251679744" behindDoc="0" locked="0" layoutInCell="1" allowOverlap="1">
            <wp:simplePos x="0" y="0"/>
            <wp:positionH relativeFrom="page">
              <wp:posOffset>914400</wp:posOffset>
            </wp:positionH>
            <wp:positionV relativeFrom="line">
              <wp:posOffset>1664335</wp:posOffset>
            </wp:positionV>
            <wp:extent cx="3009900" cy="2050415"/>
            <wp:effectExtent l="0" t="0" r="0" b="0"/>
            <wp:wrapSquare wrapText="left" distL="57150" distR="57150" distT="57150" distB="57150"/>
            <wp:docPr id="1073741877" name="officeArt object" descr="Picture 216"/>
            <wp:cNvGraphicFramePr/>
            <a:graphic xmlns:a="http://schemas.openxmlformats.org/drawingml/2006/main">
              <a:graphicData uri="http://schemas.openxmlformats.org/drawingml/2006/picture">
                <pic:pic xmlns:pic="http://schemas.openxmlformats.org/drawingml/2006/picture">
                  <pic:nvPicPr>
                    <pic:cNvPr id="1073741877" name="Picture 216" descr="Picture 216"/>
                    <pic:cNvPicPr>
                      <a:picLocks noChangeAspect="1"/>
                    </pic:cNvPicPr>
                  </pic:nvPicPr>
                  <pic:blipFill>
                    <a:blip r:embed="rId55">
                      <a:extLst/>
                    </a:blip>
                    <a:stretch>
                      <a:fillRect/>
                    </a:stretch>
                  </pic:blipFill>
                  <pic:spPr>
                    <a:xfrm>
                      <a:off x="0" y="0"/>
                      <a:ext cx="3009900" cy="2050415"/>
                    </a:xfrm>
                    <a:prstGeom prst="rect">
                      <a:avLst/>
                    </a:prstGeom>
                    <a:ln w="12700" cap="flat">
                      <a:noFill/>
                      <a:miter lim="400000"/>
                    </a:ln>
                    <a:effectLst/>
                  </pic:spPr>
                </pic:pic>
              </a:graphicData>
            </a:graphic>
          </wp:anchor>
        </w:drawing>
      </w:r>
      <w:r>
        <w:drawing xmlns:a="http://schemas.openxmlformats.org/drawingml/2006/main">
          <wp:anchor distT="57150" distB="57150" distL="57150" distR="57150" simplePos="0" relativeHeight="251664384" behindDoc="0" locked="0" layoutInCell="1" allowOverlap="1">
            <wp:simplePos x="0" y="0"/>
            <wp:positionH relativeFrom="page">
              <wp:posOffset>4019549</wp:posOffset>
            </wp:positionH>
            <wp:positionV relativeFrom="line">
              <wp:posOffset>1634490</wp:posOffset>
            </wp:positionV>
            <wp:extent cx="2695575" cy="2096232"/>
            <wp:effectExtent l="0" t="0" r="0" b="0"/>
            <wp:wrapSquare wrapText="bothSides" distL="57150" distR="57150" distT="57150" distB="57150"/>
            <wp:docPr id="1073741878" name="officeArt object" descr="Picture 45"/>
            <wp:cNvGraphicFramePr/>
            <a:graphic xmlns:a="http://schemas.openxmlformats.org/drawingml/2006/main">
              <a:graphicData uri="http://schemas.openxmlformats.org/drawingml/2006/picture">
                <pic:pic xmlns:pic="http://schemas.openxmlformats.org/drawingml/2006/picture">
                  <pic:nvPicPr>
                    <pic:cNvPr id="1073741878" name="Picture 45" descr="Picture 45"/>
                    <pic:cNvPicPr>
                      <a:picLocks noChangeAspect="1"/>
                    </pic:cNvPicPr>
                  </pic:nvPicPr>
                  <pic:blipFill>
                    <a:blip r:embed="rId56">
                      <a:extLst/>
                    </a:blip>
                    <a:stretch>
                      <a:fillRect/>
                    </a:stretch>
                  </pic:blipFill>
                  <pic:spPr>
                    <a:xfrm>
                      <a:off x="0" y="0"/>
                      <a:ext cx="2695575" cy="2096232"/>
                    </a:xfrm>
                    <a:prstGeom prst="rect">
                      <a:avLst/>
                    </a:prstGeom>
                    <a:ln w="12700" cap="flat">
                      <a:noFill/>
                      <a:miter lim="400000"/>
                    </a:ln>
                    <a:effectLst/>
                  </pic:spPr>
                </pic:pic>
              </a:graphicData>
            </a:graphic>
          </wp:anchor>
        </w:drawing>
      </w:r>
      <w:r>
        <w:rPr>
          <w:rtl w:val="0"/>
          <w:lang w:val="en-US"/>
        </w:rPr>
        <w:t>In-situ tests with high shear strain and disturbance effects measure ground improvement poorly because they damage soil structure.  Because the DMT accurately measures both the soil</w:t>
      </w:r>
      <w:r>
        <w:rPr>
          <w:rtl w:val="1"/>
        </w:rPr>
        <w:t>’</w:t>
      </w:r>
      <w:r>
        <w:rPr>
          <w:rtl w:val="0"/>
          <w:lang w:val="en-US"/>
        </w:rPr>
        <w:t xml:space="preserve">s deformation modulus and the at rest lateral pressure with minimal ground disturbance, they provide an excellent choice to determine whether the soil has sufficiently improved.  As documented at the St. Johns River Power Plant near Jacksonville, Florida, the dilatometer M values more accurately evaluated soil improvement than relative density correlations based on electronic cone qc values. </w:t>
      </w:r>
      <w:r>
        <w:rPr>
          <w:outline w:val="0"/>
          <w:color w:val="0000ff"/>
          <w:u w:color="0000ff"/>
          <w:rtl w:val="0"/>
          <w:lang w:val="de-DE"/>
          <w14:textFill>
            <w14:solidFill>
              <w14:srgbClr w14:val="0000FF"/>
            </w14:solidFill>
          </w14:textFill>
        </w:rPr>
        <w:t>(Schmertmann, et al., 1986)</w:t>
      </w:r>
      <w:r>
        <w:rPr>
          <w:rtl w:val="0"/>
          <w:lang w:val="en-US"/>
        </w:rPr>
        <w:t>.   The dilatometer K</w:t>
      </w:r>
      <w:r>
        <w:rPr>
          <w:vertAlign w:val="subscript"/>
          <w:rtl w:val="0"/>
        </w:rPr>
        <w:t>D</w:t>
      </w:r>
      <w:r>
        <w:rPr>
          <w:rtl w:val="0"/>
          <w:lang w:val="en-US"/>
        </w:rPr>
        <w:t xml:space="preserve"> and M values have great sensitivity to prove ground improvement at three different sites (Figures 41 a-c). </w:t>
      </w:r>
    </w:p>
    <w:p>
      <w:pPr>
        <w:pStyle w:val="Body"/>
      </w:pPr>
      <w:r>
        <w:drawing xmlns:a="http://schemas.openxmlformats.org/drawingml/2006/main">
          <wp:inline distT="0" distB="0" distL="0" distR="0">
            <wp:extent cx="5395965" cy="2584415"/>
            <wp:effectExtent l="0" t="0" r="0" b="0"/>
            <wp:docPr id="1073741879" name="officeArt object" descr="Picture 46"/>
            <wp:cNvGraphicFramePr/>
            <a:graphic xmlns:a="http://schemas.openxmlformats.org/drawingml/2006/main">
              <a:graphicData uri="http://schemas.openxmlformats.org/drawingml/2006/picture">
                <pic:pic xmlns:pic="http://schemas.openxmlformats.org/drawingml/2006/picture">
                  <pic:nvPicPr>
                    <pic:cNvPr id="1073741879" name="Picture 46" descr="Picture 46"/>
                    <pic:cNvPicPr>
                      <a:picLocks noChangeAspect="1"/>
                    </pic:cNvPicPr>
                  </pic:nvPicPr>
                  <pic:blipFill>
                    <a:blip r:embed="rId57">
                      <a:extLst/>
                    </a:blip>
                    <a:stretch>
                      <a:fillRect/>
                    </a:stretch>
                  </pic:blipFill>
                  <pic:spPr>
                    <a:xfrm>
                      <a:off x="0" y="0"/>
                      <a:ext cx="5395965" cy="2584415"/>
                    </a:xfrm>
                    <a:prstGeom prst="rect">
                      <a:avLst/>
                    </a:prstGeom>
                    <a:ln w="12700" cap="flat">
                      <a:noFill/>
                      <a:miter lim="400000"/>
                    </a:ln>
                    <a:effectLst/>
                  </pic:spPr>
                </pic:pic>
              </a:graphicData>
            </a:graphic>
          </wp:inline>
        </w:drawing>
      </w:r>
    </w:p>
    <w:p>
      <w:pPr>
        <w:pStyle w:val="Body"/>
      </w:pPr>
    </w:p>
    <w:p>
      <w:pPr>
        <w:pStyle w:val="Body"/>
      </w:pPr>
      <w:r>
        <w:rPr>
          <w:rtl w:val="0"/>
          <w:lang w:val="en-US"/>
        </w:rPr>
        <w:t>Figure 41 a-c: Three sites showing dilatometer K</w:t>
      </w:r>
      <w:r>
        <w:rPr>
          <w:vertAlign w:val="subscript"/>
          <w:rtl w:val="0"/>
        </w:rPr>
        <w:t>D</w:t>
      </w:r>
      <w:r>
        <w:rPr>
          <w:rtl w:val="0"/>
          <w:lang w:val="en-US"/>
        </w:rPr>
        <w:t xml:space="preserve"> and M measuring ground improvement</w:t>
      </w:r>
    </w:p>
    <w:p>
      <w:pPr>
        <w:pStyle w:val="Body"/>
      </w:pPr>
    </w:p>
    <w:p>
      <w:pPr>
        <w:pStyle w:val="Body"/>
      </w:pPr>
      <w:r>
        <w:rPr>
          <w:rFonts w:ascii="Arial Unicode MS" w:cs="Arial Unicode MS" w:hAnsi="Arial Unicode MS" w:eastAsia="Arial Unicode MS"/>
          <w:b w:val="0"/>
          <w:bCs w:val="0"/>
          <w:i w:val="0"/>
          <w:iCs w:val="0"/>
        </w:rPr>
        <w:br w:type="page"/>
      </w:r>
    </w:p>
    <w:p>
      <w:pPr>
        <w:pStyle w:val="Body"/>
        <w:rPr>
          <w:sz w:val="28"/>
          <w:szCs w:val="28"/>
        </w:rPr>
      </w:pPr>
      <w:r>
        <w:rPr>
          <w:b w:val="1"/>
          <w:bCs w:val="1"/>
          <w:sz w:val="28"/>
          <w:szCs w:val="28"/>
          <w:rtl w:val="0"/>
          <w:lang w:val="en-US"/>
        </w:rPr>
        <w:t>Detecting Slip Surfaces in Over-Consolidated Clays:</w:t>
      </w:r>
      <w:r>
        <w:rPr>
          <w:sz w:val="28"/>
          <w:szCs w:val="28"/>
          <w:rtl w:val="0"/>
        </w:rPr>
        <w:t xml:space="preserve">  </w:t>
      </w:r>
    </w:p>
    <w:p>
      <w:pPr>
        <w:pStyle w:val="Body"/>
      </w:pPr>
    </w:p>
    <w:p>
      <w:pPr>
        <w:pStyle w:val="Body"/>
      </w:pPr>
      <w:r>
        <w:rPr>
          <w:rtl w:val="0"/>
          <w:lang w:val="en-US"/>
        </w:rPr>
        <w:t>When a landslide develops through an over-consolidated clay, it remolds the soil during the slide, and then the soil returns to a normally consolidated state after the slide halts.  The dilatometer K</w:t>
      </w:r>
      <w:r>
        <w:rPr>
          <w:vertAlign w:val="subscript"/>
          <w:rtl w:val="0"/>
        </w:rPr>
        <w:t>D</w:t>
      </w:r>
      <w:r>
        <w:rPr>
          <w:rtl w:val="0"/>
          <w:lang w:val="en-US"/>
        </w:rPr>
        <w:t xml:space="preserve"> value for an over-consolidated clay significantly exceeds 2, while a normally consolidated clay has a K</w:t>
      </w:r>
      <w:r>
        <w:rPr>
          <w:vertAlign w:val="subscript"/>
          <w:rtl w:val="0"/>
        </w:rPr>
        <w:t>D</w:t>
      </w:r>
      <w:r>
        <w:rPr>
          <w:rtl w:val="0"/>
          <w:lang w:val="en-US"/>
        </w:rPr>
        <w:t xml:space="preserve"> approximately equal to 2 (Figure 42).  </w:t>
      </w:r>
      <w:r>
        <w:rPr>
          <w:outline w:val="0"/>
          <w:color w:val="0000ff"/>
          <w:u w:color="0000ff"/>
          <w:rtl w:val="0"/>
          <w14:textFill>
            <w14:solidFill>
              <w14:srgbClr w14:val="0000FF"/>
            </w14:solidFill>
          </w14:textFill>
        </w:rPr>
        <w:t>Totani (1997)</w:t>
      </w:r>
      <w:r>
        <w:rPr>
          <w:rtl w:val="0"/>
          <w:lang w:val="en-US"/>
        </w:rPr>
        <w:t xml:space="preserve"> explains in further detail how dilatometer tests can locate slip surfaces from landslides.  Figures 43 a-c identify documented slip surfaces at three sites.</w:t>
      </w:r>
    </w:p>
    <w:p>
      <w:pPr>
        <w:pStyle w:val="Body"/>
      </w:pPr>
      <w:r>
        <w:drawing xmlns:a="http://schemas.openxmlformats.org/drawingml/2006/main">
          <wp:inline distT="0" distB="0" distL="0" distR="0">
            <wp:extent cx="5543550" cy="3088634"/>
            <wp:effectExtent l="0" t="0" r="0" b="0"/>
            <wp:docPr id="1073741880" name="officeArt object" descr="Picture 49"/>
            <wp:cNvGraphicFramePr/>
            <a:graphic xmlns:a="http://schemas.openxmlformats.org/drawingml/2006/main">
              <a:graphicData uri="http://schemas.openxmlformats.org/drawingml/2006/picture">
                <pic:pic xmlns:pic="http://schemas.openxmlformats.org/drawingml/2006/picture">
                  <pic:nvPicPr>
                    <pic:cNvPr id="1073741880" name="Picture 49" descr="Picture 49"/>
                    <pic:cNvPicPr>
                      <a:picLocks noChangeAspect="1"/>
                    </pic:cNvPicPr>
                  </pic:nvPicPr>
                  <pic:blipFill>
                    <a:blip r:embed="rId58">
                      <a:extLst/>
                    </a:blip>
                    <a:stretch>
                      <a:fillRect/>
                    </a:stretch>
                  </pic:blipFill>
                  <pic:spPr>
                    <a:xfrm>
                      <a:off x="0" y="0"/>
                      <a:ext cx="5543550" cy="3088634"/>
                    </a:xfrm>
                    <a:prstGeom prst="rect">
                      <a:avLst/>
                    </a:prstGeom>
                    <a:ln w="12700" cap="flat">
                      <a:noFill/>
                      <a:miter lim="400000"/>
                    </a:ln>
                    <a:effectLst/>
                  </pic:spPr>
                </pic:pic>
              </a:graphicData>
            </a:graphic>
          </wp:inline>
        </w:drawing>
      </w:r>
    </w:p>
    <w:p>
      <w:pPr>
        <w:pStyle w:val="Body"/>
        <w:rPr>
          <w:vertAlign w:val="subscript"/>
        </w:rPr>
      </w:pPr>
      <w:r>
        <w:rPr>
          <w:rtl w:val="0"/>
          <w:lang w:val="en-US"/>
        </w:rPr>
        <w:t>Figure 42: Detecting slip failure surfaces using DMT K</w:t>
      </w:r>
      <w:r>
        <w:rPr>
          <w:vertAlign w:val="subscript"/>
          <w:rtl w:val="0"/>
        </w:rPr>
        <w:t>D</w:t>
      </w:r>
    </w:p>
    <w:p>
      <w:pPr>
        <w:pStyle w:val="Body"/>
        <w:rPr>
          <w:vertAlign w:val="subscript"/>
        </w:rPr>
      </w:pPr>
    </w:p>
    <w:p>
      <w:pPr>
        <w:pStyle w:val="Body"/>
      </w:pPr>
      <w:r>
        <w:drawing xmlns:a="http://schemas.openxmlformats.org/drawingml/2006/main">
          <wp:inline distT="0" distB="0" distL="0" distR="0">
            <wp:extent cx="4848225" cy="3239919"/>
            <wp:effectExtent l="0" t="0" r="0" b="0"/>
            <wp:docPr id="1073741881" name="officeArt object" descr="Picture 50"/>
            <wp:cNvGraphicFramePr/>
            <a:graphic xmlns:a="http://schemas.openxmlformats.org/drawingml/2006/main">
              <a:graphicData uri="http://schemas.openxmlformats.org/drawingml/2006/picture">
                <pic:pic xmlns:pic="http://schemas.openxmlformats.org/drawingml/2006/picture">
                  <pic:nvPicPr>
                    <pic:cNvPr id="1073741881" name="Picture 50" descr="Picture 50"/>
                    <pic:cNvPicPr>
                      <a:picLocks noChangeAspect="1"/>
                    </pic:cNvPicPr>
                  </pic:nvPicPr>
                  <pic:blipFill>
                    <a:blip r:embed="rId59">
                      <a:extLst/>
                    </a:blip>
                    <a:stretch>
                      <a:fillRect/>
                    </a:stretch>
                  </pic:blipFill>
                  <pic:spPr>
                    <a:xfrm>
                      <a:off x="0" y="0"/>
                      <a:ext cx="4848225" cy="3239919"/>
                    </a:xfrm>
                    <a:prstGeom prst="rect">
                      <a:avLst/>
                    </a:prstGeom>
                    <a:ln w="12700" cap="flat">
                      <a:noFill/>
                      <a:miter lim="400000"/>
                    </a:ln>
                    <a:effectLst/>
                  </pic:spPr>
                </pic:pic>
              </a:graphicData>
            </a:graphic>
          </wp:inline>
        </w:drawing>
      </w:r>
    </w:p>
    <w:p>
      <w:pPr>
        <w:pStyle w:val="Body"/>
      </w:pPr>
    </w:p>
    <w:p>
      <w:pPr>
        <w:pStyle w:val="Body"/>
      </w:pPr>
      <w:r>
        <w:drawing xmlns:a="http://schemas.openxmlformats.org/drawingml/2006/main">
          <wp:inline distT="0" distB="0" distL="0" distR="0">
            <wp:extent cx="5933552" cy="3624158"/>
            <wp:effectExtent l="0" t="0" r="0" b="0"/>
            <wp:docPr id="1073741882" name="officeArt object" descr="Picture 51"/>
            <wp:cNvGraphicFramePr/>
            <a:graphic xmlns:a="http://schemas.openxmlformats.org/drawingml/2006/main">
              <a:graphicData uri="http://schemas.openxmlformats.org/drawingml/2006/picture">
                <pic:pic xmlns:pic="http://schemas.openxmlformats.org/drawingml/2006/picture">
                  <pic:nvPicPr>
                    <pic:cNvPr id="1073741882" name="Picture 51" descr="Picture 51"/>
                    <pic:cNvPicPr>
                      <a:picLocks noChangeAspect="1"/>
                    </pic:cNvPicPr>
                  </pic:nvPicPr>
                  <pic:blipFill>
                    <a:blip r:embed="rId60">
                      <a:extLst/>
                    </a:blip>
                    <a:stretch>
                      <a:fillRect/>
                    </a:stretch>
                  </pic:blipFill>
                  <pic:spPr>
                    <a:xfrm>
                      <a:off x="0" y="0"/>
                      <a:ext cx="5933552" cy="3624158"/>
                    </a:xfrm>
                    <a:prstGeom prst="rect">
                      <a:avLst/>
                    </a:prstGeom>
                    <a:ln w="12700" cap="flat">
                      <a:noFill/>
                      <a:miter lim="400000"/>
                    </a:ln>
                    <a:effectLst/>
                  </pic:spPr>
                </pic:pic>
              </a:graphicData>
            </a:graphic>
          </wp:inline>
        </w:drawing>
      </w:r>
      <w:r>
        <w:drawing xmlns:a="http://schemas.openxmlformats.org/drawingml/2006/main">
          <wp:inline distT="0" distB="0" distL="0" distR="0">
            <wp:extent cx="5943600" cy="4104005"/>
            <wp:effectExtent l="0" t="0" r="0" b="0"/>
            <wp:docPr id="1073741883" name="officeArt object" descr="Picture 52"/>
            <wp:cNvGraphicFramePr/>
            <a:graphic xmlns:a="http://schemas.openxmlformats.org/drawingml/2006/main">
              <a:graphicData uri="http://schemas.openxmlformats.org/drawingml/2006/picture">
                <pic:pic xmlns:pic="http://schemas.openxmlformats.org/drawingml/2006/picture">
                  <pic:nvPicPr>
                    <pic:cNvPr id="1073741883" name="Picture 52" descr="Picture 52"/>
                    <pic:cNvPicPr>
                      <a:picLocks noChangeAspect="1"/>
                    </pic:cNvPicPr>
                  </pic:nvPicPr>
                  <pic:blipFill>
                    <a:blip r:embed="rId61">
                      <a:extLst/>
                    </a:blip>
                    <a:stretch>
                      <a:fillRect/>
                    </a:stretch>
                  </pic:blipFill>
                  <pic:spPr>
                    <a:xfrm>
                      <a:off x="0" y="0"/>
                      <a:ext cx="5943600" cy="4104005"/>
                    </a:xfrm>
                    <a:prstGeom prst="rect">
                      <a:avLst/>
                    </a:prstGeom>
                    <a:ln w="12700" cap="flat">
                      <a:noFill/>
                      <a:miter lim="400000"/>
                    </a:ln>
                    <a:effectLst/>
                  </pic:spPr>
                </pic:pic>
              </a:graphicData>
            </a:graphic>
          </wp:inline>
        </w:drawing>
      </w:r>
    </w:p>
    <w:p>
      <w:pPr>
        <w:pStyle w:val="Body"/>
      </w:pPr>
      <w:r>
        <w:rPr>
          <w:rtl w:val="0"/>
          <w:lang w:val="en-US"/>
        </w:rPr>
        <w:t>Figures 43 a-c: Detecting Slip Surfaces using DMT K</w:t>
      </w:r>
      <w:r>
        <w:rPr>
          <w:vertAlign w:val="subscript"/>
          <w:rtl w:val="0"/>
        </w:rPr>
        <w:t>D</w:t>
      </w:r>
      <w:r>
        <w:rPr>
          <w:rtl w:val="0"/>
          <w:lang w:val="en-US"/>
        </w:rPr>
        <w:t xml:space="preserve"> at three sites</w:t>
      </w:r>
    </w:p>
    <w:p>
      <w:pPr>
        <w:pStyle w:val="Body"/>
        <w:rPr>
          <w:b w:val="1"/>
          <w:bCs w:val="1"/>
          <w:sz w:val="28"/>
          <w:szCs w:val="28"/>
        </w:rPr>
      </w:pPr>
      <w:r>
        <w:rPr>
          <w:b w:val="1"/>
          <w:bCs w:val="1"/>
          <w:sz w:val="28"/>
          <w:szCs w:val="28"/>
          <w:rtl w:val="0"/>
          <w:lang w:val="en-US"/>
        </w:rPr>
        <w:t xml:space="preserve">Seismic Tests: </w:t>
      </w:r>
    </w:p>
    <w:p>
      <w:pPr>
        <w:pStyle w:val="Body"/>
        <w:rPr>
          <w:b w:val="1"/>
          <w:bCs w:val="1"/>
        </w:rPr>
      </w:pPr>
    </w:p>
    <w:p>
      <w:pPr>
        <w:pStyle w:val="Body"/>
      </w:pPr>
      <w:r>
        <w:rPr>
          <w:sz w:val="28"/>
          <w:szCs w:val="28"/>
        </w:rPr>
        <w:drawing xmlns:a="http://schemas.openxmlformats.org/drawingml/2006/main">
          <wp:anchor distT="57150" distB="57150" distL="57150" distR="57150" simplePos="0" relativeHeight="251670528" behindDoc="0" locked="0" layoutInCell="1" allowOverlap="1">
            <wp:simplePos x="0" y="0"/>
            <wp:positionH relativeFrom="page">
              <wp:posOffset>4057650</wp:posOffset>
            </wp:positionH>
            <wp:positionV relativeFrom="line">
              <wp:posOffset>1720850</wp:posOffset>
            </wp:positionV>
            <wp:extent cx="2868930" cy="1685925"/>
            <wp:effectExtent l="0" t="0" r="0" b="0"/>
            <wp:wrapSquare wrapText="bothSides" distL="57150" distR="57150" distT="57150" distB="57150"/>
            <wp:docPr id="1073741884" name="officeArt object" descr="Picture 193"/>
            <wp:cNvGraphicFramePr/>
            <a:graphic xmlns:a="http://schemas.openxmlformats.org/drawingml/2006/main">
              <a:graphicData uri="http://schemas.openxmlformats.org/drawingml/2006/picture">
                <pic:pic xmlns:pic="http://schemas.openxmlformats.org/drawingml/2006/picture">
                  <pic:nvPicPr>
                    <pic:cNvPr id="1073741884" name="Picture 193" descr="Picture 193"/>
                    <pic:cNvPicPr>
                      <a:picLocks noChangeAspect="1"/>
                    </pic:cNvPicPr>
                  </pic:nvPicPr>
                  <pic:blipFill>
                    <a:blip r:embed="rId62">
                      <a:extLst/>
                    </a:blip>
                    <a:stretch>
                      <a:fillRect/>
                    </a:stretch>
                  </pic:blipFill>
                  <pic:spPr>
                    <a:xfrm>
                      <a:off x="0" y="0"/>
                      <a:ext cx="2868930" cy="1685925"/>
                    </a:xfrm>
                    <a:prstGeom prst="rect">
                      <a:avLst/>
                    </a:prstGeom>
                    <a:ln w="12700" cap="flat">
                      <a:noFill/>
                      <a:miter lim="400000"/>
                    </a:ln>
                    <a:effectLst/>
                  </pic:spPr>
                </pic:pic>
              </a:graphicData>
            </a:graphic>
          </wp:anchor>
        </w:drawing>
      </w:r>
      <w:r>
        <w:rPr>
          <w:rtl w:val="0"/>
          <w:lang w:val="en-US"/>
        </w:rPr>
        <w:t>At the Second International Conference on the Flat Dilatometer in April 2006, the true interval seismic test was unveiled.  Two geophones spaced exactly 0.50 meters apart in a module located directly above the blade measure the seismic shear waves.  After a horizontal strike of a plate at the ground surface, a shear wave travels through the soil (Figure 44).  The upper geophone receives it first and then the lower geophone receives the same wave.  Both waves are recorded, digitally processed, and transmitted serially through the single wire DMT cable to the computer at the surface.  The engineer shifts the second wave to the left by a delta time superimposing it on the first wave.  The shear wave velocity easily computes as the hypotenuse difference in the shear wave travel distances between the upper and lower geophones by this computed delta time.  At each test depth, the engineer repeats the seismic test at least three times, confirming similar shear wave velocities.  If he/she records any anomalies, he/she performs additional tests to verify the correct measurement.  Usually only three good strikes are needed, and the shear wave velocities agree within 1 foot/second.  Figures 45a-d show the seismic strike and the data acquisition computer screenshots.</w:t>
      </w:r>
    </w:p>
    <w:p>
      <w:pPr>
        <w:pStyle w:val="Body"/>
        <w:ind w:left="2880" w:firstLine="0"/>
      </w:pPr>
      <w:r>
        <w:drawing xmlns:a="http://schemas.openxmlformats.org/drawingml/2006/main">
          <wp:anchor distT="57150" distB="57150" distL="57150" distR="57150" simplePos="0" relativeHeight="251671552" behindDoc="0" locked="0" layoutInCell="1" allowOverlap="1">
            <wp:simplePos x="0" y="0"/>
            <wp:positionH relativeFrom="page">
              <wp:posOffset>932814</wp:posOffset>
            </wp:positionH>
            <wp:positionV relativeFrom="line">
              <wp:posOffset>234314</wp:posOffset>
            </wp:positionV>
            <wp:extent cx="5667375" cy="4007485"/>
            <wp:effectExtent l="0" t="0" r="0" b="0"/>
            <wp:wrapSquare wrapText="bothSides" distL="57150" distR="57150" distT="57150" distB="57150"/>
            <wp:docPr id="1073741885" name="officeArt object" descr="Picture 59"/>
            <wp:cNvGraphicFramePr/>
            <a:graphic xmlns:a="http://schemas.openxmlformats.org/drawingml/2006/main">
              <a:graphicData uri="http://schemas.openxmlformats.org/drawingml/2006/picture">
                <pic:pic xmlns:pic="http://schemas.openxmlformats.org/drawingml/2006/picture">
                  <pic:nvPicPr>
                    <pic:cNvPr id="1073741885" name="Picture 59" descr="Picture 59"/>
                    <pic:cNvPicPr>
                      <a:picLocks noChangeAspect="1"/>
                    </pic:cNvPicPr>
                  </pic:nvPicPr>
                  <pic:blipFill>
                    <a:blip r:embed="rId63">
                      <a:extLst/>
                    </a:blip>
                    <a:stretch>
                      <a:fillRect/>
                    </a:stretch>
                  </pic:blipFill>
                  <pic:spPr>
                    <a:xfrm>
                      <a:off x="0" y="0"/>
                      <a:ext cx="5667375" cy="4007485"/>
                    </a:xfrm>
                    <a:prstGeom prst="rect">
                      <a:avLst/>
                    </a:prstGeom>
                    <a:ln w="12700" cap="flat">
                      <a:noFill/>
                      <a:miter lim="400000"/>
                    </a:ln>
                    <a:effectLst/>
                  </pic:spPr>
                </pic:pic>
              </a:graphicData>
            </a:graphic>
          </wp:anchor>
        </w:drawing>
      </w:r>
      <w:r>
        <w:rPr>
          <w:rtl w:val="0"/>
          <w:lang w:val="en-US"/>
        </w:rPr>
        <w:t xml:space="preserve">    Figure 44: Air hammer to generate horizontal seismic strike</w:t>
      </w:r>
    </w:p>
    <w:p>
      <w:pPr>
        <w:pStyle w:val="Body"/>
        <w:ind w:left="2880" w:firstLine="0"/>
      </w:pPr>
      <w:r>
        <w:rPr>
          <w:b w:val="1"/>
          <w:bCs w:val="1"/>
        </w:rPr>
        <w:drawing xmlns:a="http://schemas.openxmlformats.org/drawingml/2006/main">
          <wp:anchor distT="57150" distB="57150" distL="57150" distR="57150" simplePos="0" relativeHeight="251673600" behindDoc="0" locked="0" layoutInCell="1" allowOverlap="1">
            <wp:simplePos x="0" y="0"/>
            <wp:positionH relativeFrom="page">
              <wp:posOffset>838200</wp:posOffset>
            </wp:positionH>
            <wp:positionV relativeFrom="line">
              <wp:posOffset>3904615</wp:posOffset>
            </wp:positionV>
            <wp:extent cx="5915025" cy="3610610"/>
            <wp:effectExtent l="0" t="0" r="0" b="0"/>
            <wp:wrapSquare wrapText="bothSides" distL="57150" distR="57150" distT="57150" distB="57150"/>
            <wp:docPr id="1073741886" name="officeArt object" descr="Picture 62"/>
            <wp:cNvGraphicFramePr/>
            <a:graphic xmlns:a="http://schemas.openxmlformats.org/drawingml/2006/main">
              <a:graphicData uri="http://schemas.openxmlformats.org/drawingml/2006/picture">
                <pic:pic xmlns:pic="http://schemas.openxmlformats.org/drawingml/2006/picture">
                  <pic:nvPicPr>
                    <pic:cNvPr id="1073741886" name="Picture 62" descr="Picture 62"/>
                    <pic:cNvPicPr>
                      <a:picLocks noChangeAspect="1"/>
                    </pic:cNvPicPr>
                  </pic:nvPicPr>
                  <pic:blipFill>
                    <a:blip r:embed="rId64">
                      <a:extLst/>
                    </a:blip>
                    <a:stretch>
                      <a:fillRect/>
                    </a:stretch>
                  </pic:blipFill>
                  <pic:spPr>
                    <a:xfrm>
                      <a:off x="0" y="0"/>
                      <a:ext cx="5915025" cy="3610610"/>
                    </a:xfrm>
                    <a:prstGeom prst="rect">
                      <a:avLst/>
                    </a:prstGeom>
                    <a:ln w="12700" cap="flat">
                      <a:noFill/>
                      <a:miter lim="400000"/>
                    </a:ln>
                    <a:effectLst/>
                  </pic:spPr>
                </pic:pic>
              </a:graphicData>
            </a:graphic>
          </wp:anchor>
        </w:drawing>
      </w:r>
      <w:r>
        <w:rPr>
          <w:b w:val="1"/>
          <w:bCs w:val="1"/>
          <w:sz w:val="28"/>
          <w:szCs w:val="28"/>
        </w:rPr>
        <w:drawing xmlns:a="http://schemas.openxmlformats.org/drawingml/2006/main">
          <wp:anchor distT="57150" distB="57150" distL="57150" distR="57150" simplePos="0" relativeHeight="251674624" behindDoc="0" locked="0" layoutInCell="1" allowOverlap="1">
            <wp:simplePos x="0" y="0"/>
            <wp:positionH relativeFrom="page">
              <wp:posOffset>819150</wp:posOffset>
            </wp:positionH>
            <wp:positionV relativeFrom="line">
              <wp:posOffset>200025</wp:posOffset>
            </wp:positionV>
            <wp:extent cx="5924550" cy="3577590"/>
            <wp:effectExtent l="0" t="0" r="0" b="0"/>
            <wp:wrapSquare wrapText="bothSides" distL="57150" distR="57150" distT="57150" distB="57150"/>
            <wp:docPr id="1073741887" name="officeArt object" descr="Picture 192"/>
            <wp:cNvGraphicFramePr/>
            <a:graphic xmlns:a="http://schemas.openxmlformats.org/drawingml/2006/main">
              <a:graphicData uri="http://schemas.openxmlformats.org/drawingml/2006/picture">
                <pic:pic xmlns:pic="http://schemas.openxmlformats.org/drawingml/2006/picture">
                  <pic:nvPicPr>
                    <pic:cNvPr id="1073741887" name="Picture 192" descr="Picture 192"/>
                    <pic:cNvPicPr>
                      <a:picLocks noChangeAspect="1"/>
                    </pic:cNvPicPr>
                  </pic:nvPicPr>
                  <pic:blipFill>
                    <a:blip r:embed="rId65">
                      <a:extLst/>
                    </a:blip>
                    <a:stretch>
                      <a:fillRect/>
                    </a:stretch>
                  </pic:blipFill>
                  <pic:spPr>
                    <a:xfrm>
                      <a:off x="0" y="0"/>
                      <a:ext cx="5924550" cy="3577590"/>
                    </a:xfrm>
                    <a:prstGeom prst="rect">
                      <a:avLst/>
                    </a:prstGeom>
                    <a:ln w="12700" cap="flat">
                      <a:noFill/>
                      <a:miter lim="400000"/>
                    </a:ln>
                    <a:effectLst/>
                  </pic:spPr>
                </pic:pic>
              </a:graphicData>
            </a:graphic>
          </wp:anchor>
        </w:drawing>
      </w:r>
    </w:p>
    <w:p>
      <w:pPr>
        <w:pStyle w:val="Body"/>
        <w:ind w:left="2880" w:firstLine="0"/>
      </w:pPr>
    </w:p>
    <w:p>
      <w:pPr>
        <w:pStyle w:val="Body"/>
        <w:jc w:val="both"/>
      </w:pPr>
      <w:r>
        <w:rPr>
          <w:b w:val="1"/>
          <w:bCs w:val="1"/>
        </w:rPr>
        <w:drawing xmlns:a="http://schemas.openxmlformats.org/drawingml/2006/main">
          <wp:anchor distT="57150" distB="57150" distL="57150" distR="57150" simplePos="0" relativeHeight="251672576" behindDoc="0" locked="0" layoutInCell="1" allowOverlap="1">
            <wp:simplePos x="0" y="0"/>
            <wp:positionH relativeFrom="column">
              <wp:posOffset>161290</wp:posOffset>
            </wp:positionH>
            <wp:positionV relativeFrom="line">
              <wp:posOffset>9525</wp:posOffset>
            </wp:positionV>
            <wp:extent cx="5648325" cy="3529965"/>
            <wp:effectExtent l="0" t="0" r="0" b="0"/>
            <wp:wrapSquare wrapText="bothSides" distL="57150" distR="57150" distT="57150" distB="57150"/>
            <wp:docPr id="1073741888" name="officeArt object" descr="Picture 60"/>
            <wp:cNvGraphicFramePr/>
            <a:graphic xmlns:a="http://schemas.openxmlformats.org/drawingml/2006/main">
              <a:graphicData uri="http://schemas.openxmlformats.org/drawingml/2006/picture">
                <pic:pic xmlns:pic="http://schemas.openxmlformats.org/drawingml/2006/picture">
                  <pic:nvPicPr>
                    <pic:cNvPr id="1073741888" name="Picture 60" descr="Picture 60"/>
                    <pic:cNvPicPr>
                      <a:picLocks noChangeAspect="1"/>
                    </pic:cNvPicPr>
                  </pic:nvPicPr>
                  <pic:blipFill>
                    <a:blip r:embed="rId66">
                      <a:extLst/>
                    </a:blip>
                    <a:stretch>
                      <a:fillRect/>
                    </a:stretch>
                  </pic:blipFill>
                  <pic:spPr>
                    <a:xfrm>
                      <a:off x="0" y="0"/>
                      <a:ext cx="5648325" cy="3529965"/>
                    </a:xfrm>
                    <a:prstGeom prst="rect">
                      <a:avLst/>
                    </a:prstGeom>
                    <a:ln w="12700" cap="flat">
                      <a:noFill/>
                      <a:miter lim="400000"/>
                    </a:ln>
                    <a:effectLst/>
                  </pic:spPr>
                </pic:pic>
              </a:graphicData>
            </a:graphic>
          </wp:anchor>
        </w:drawing>
      </w:r>
      <w:r>
        <w:rPr>
          <w:rtl w:val="0"/>
          <w:lang w:val="en-US"/>
        </w:rPr>
        <w:t xml:space="preserve">             Figures 45a-d: True Intervals Seismic Setup and Data Acquisition Screenshots</w:t>
      </w:r>
    </w:p>
    <w:p>
      <w:pPr>
        <w:pStyle w:val="Body"/>
      </w:pPr>
    </w:p>
    <w:p>
      <w:pPr>
        <w:pStyle w:val="Body"/>
      </w:pPr>
      <w:r>
        <w:rPr>
          <w:rtl w:val="0"/>
          <w:lang w:val="en-US"/>
        </w:rPr>
        <w:t xml:space="preserve">The shear modulus degrades with increasing shear strain.  With the seismic DMT test </w:t>
      </w:r>
      <w:r>
        <w:rPr>
          <w:outline w:val="0"/>
          <w:color w:val="0000ff"/>
          <w:u w:color="0000ff"/>
          <w:rtl w:val="0"/>
          <w:lang w:val="pt-PT"/>
          <w14:textFill>
            <w14:solidFill>
              <w14:srgbClr w14:val="0000FF"/>
            </w14:solidFill>
          </w14:textFill>
        </w:rPr>
        <w:t>(Amoroso, et. al., 2013)</w:t>
      </w:r>
      <w:r>
        <w:rPr>
          <w:rtl w:val="0"/>
          <w:lang w:val="en-US"/>
        </w:rPr>
        <w:t>, the engineer obtains two data points on the degradation curves as follows:</w:t>
      </w:r>
    </w:p>
    <w:p>
      <w:pPr>
        <w:pStyle w:val="Body"/>
      </w:pPr>
    </w:p>
    <w:p>
      <w:pPr>
        <w:pStyle w:val="Body"/>
      </w:pPr>
      <w:r>
        <w:rPr>
          <w:rtl w:val="0"/>
        </w:rPr>
        <w:tab/>
        <w:t>G</w:t>
      </w:r>
      <w:r>
        <w:rPr>
          <w:vertAlign w:val="subscript"/>
          <w:rtl w:val="0"/>
        </w:rPr>
        <w:t>max</w:t>
      </w:r>
      <w:r>
        <w:rPr>
          <w:rtl w:val="0"/>
        </w:rPr>
        <w:t xml:space="preserve"> = </w:t>
      </w:r>
      <w:r>
        <w:rPr>
          <w:rFonts w:ascii="Symbol" w:hAnsi="Symbol" w:hint="default"/>
          <w:rtl w:val="0"/>
        </w:rPr>
        <w:t>r</w:t>
      </w:r>
      <w:r>
        <w:rPr>
          <w:rtl w:val="0"/>
        </w:rPr>
        <w:t xml:space="preserve"> * V</w:t>
      </w:r>
      <w:r>
        <w:rPr>
          <w:vertAlign w:val="subscript"/>
          <w:rtl w:val="0"/>
        </w:rPr>
        <w:t>s</w:t>
      </w:r>
      <w:r>
        <w:rPr>
          <w:vertAlign w:val="superscript"/>
          <w:rtl w:val="0"/>
        </w:rPr>
        <w:t>2</w:t>
      </w:r>
    </w:p>
    <w:p>
      <w:pPr>
        <w:pStyle w:val="Body"/>
      </w:pPr>
      <w:r>
        <w:rPr>
          <w:rtl w:val="0"/>
          <w:lang w:val="en-US"/>
        </w:rPr>
        <w:tab/>
        <w:t>Where G</w:t>
      </w:r>
      <w:r>
        <w:rPr>
          <w:vertAlign w:val="subscript"/>
          <w:rtl w:val="0"/>
        </w:rPr>
        <w:t>max</w:t>
      </w:r>
      <w:r>
        <w:rPr>
          <w:rtl w:val="0"/>
          <w:lang w:val="en-US"/>
        </w:rPr>
        <w:t xml:space="preserve"> = low strain shear modulus,</w:t>
      </w:r>
    </w:p>
    <w:p>
      <w:pPr>
        <w:pStyle w:val="Body"/>
      </w:pPr>
      <w:r>
        <w:tab/>
      </w:r>
      <w:r>
        <w:rPr>
          <w:rFonts w:ascii="Symbol" w:hAnsi="Symbol" w:hint="default"/>
          <w:rtl w:val="0"/>
        </w:rPr>
        <w:t>r</w:t>
      </w:r>
      <w:r>
        <w:rPr>
          <w:rtl w:val="0"/>
          <w:lang w:val="de-DE"/>
        </w:rPr>
        <w:t xml:space="preserve"> = mass density</w:t>
      </w:r>
    </w:p>
    <w:p>
      <w:pPr>
        <w:pStyle w:val="Body"/>
      </w:pPr>
      <w:r>
        <w:rPr>
          <w:rtl w:val="0"/>
          <w:lang w:val="en-US"/>
        </w:rPr>
        <w:tab/>
        <w:t>Vs = shear wave velocity</w:t>
      </w:r>
    </w:p>
    <w:p>
      <w:pPr>
        <w:pStyle w:val="Body"/>
      </w:pPr>
    </w:p>
    <w:p>
      <w:pPr>
        <w:pStyle w:val="Body"/>
        <w:rPr>
          <w:color w:val="000000"/>
          <w:sz w:val="22"/>
        </w:rPr>
      </w:pPr>
      <w:r>
        <w:rPr>
          <w:rtl w:val="0"/>
        </w:rPr>
        <w:tab/>
        <w:t>G</w:t>
      </w:r>
      <w:r>
        <w:rPr>
          <w:vertAlign w:val="subscript"/>
          <w:rtl w:val="0"/>
        </w:rPr>
        <w:t>DMT</w:t>
      </w:r>
      <w:r>
        <w:rPr>
          <w:rtl w:val="0"/>
        </w:rPr>
        <w:t xml:space="preserve"> = </w:t>
      </w:r>
      <m:oMath>
        <m:f>
          <m:fPr>
            <m:ctrlPr>
              <w:rPr xmlns:w="http://schemas.openxmlformats.org/wordprocessingml/2006/main">
                <w:rFonts w:ascii="Cambria Math" w:hAnsi="Cambria Math"/>
                <w:i/>
                <w:color w:val="000000"/>
                <w:sz w:val="27"/>
                <w:szCs w:val="27"/>
              </w:rPr>
            </m:ctrlPr>
            <m:type m:val="bar"/>
          </m:fPr>
          <m:num>
            <m:sSub>
              <m:e>
                <m:r>
                  <w:rPr xmlns:w="http://schemas.openxmlformats.org/wordprocessingml/2006/main">
                    <w:rFonts w:ascii="Cambria Math" w:hAnsi="Cambria Math"/>
                    <w:i/>
                    <w:color w:val="000000"/>
                    <w:sz w:val="27"/>
                    <w:szCs w:val="27"/>
                  </w:rPr>
                  <m:t>M</m:t>
                </m:r>
              </m:e>
              <m:sub>
                <m:r>
                  <w:rPr xmlns:w="http://schemas.openxmlformats.org/wordprocessingml/2006/main">
                    <w:rFonts w:ascii="Cambria Math" w:hAnsi="Cambria Math"/>
                    <w:i/>
                    <w:color w:val="000000"/>
                    <w:sz w:val="27"/>
                    <w:szCs w:val="27"/>
                  </w:rPr>
                  <m:t>D</m:t>
                </m:r>
                <m:r>
                  <w:rPr xmlns:w="http://schemas.openxmlformats.org/wordprocessingml/2006/main">
                    <w:rFonts w:ascii="Cambria Math" w:hAnsi="Cambria Math"/>
                    <w:i/>
                    <w:color w:val="000000"/>
                    <w:sz w:val="27"/>
                    <w:szCs w:val="27"/>
                  </w:rPr>
                  <m:t>M</m:t>
                </m:r>
                <m:r>
                  <w:rPr xmlns:w="http://schemas.openxmlformats.org/wordprocessingml/2006/main">
                    <w:rFonts w:ascii="Cambria Math" w:hAnsi="Cambria Math"/>
                    <w:i/>
                    <w:color w:val="000000"/>
                    <w:sz w:val="27"/>
                    <w:szCs w:val="27"/>
                  </w:rPr>
                  <m:t>T</m:t>
                </m:r>
              </m:sub>
            </m:sSub>
          </m:num>
          <m:den>
            <m:r>
              <w:rPr xmlns:w="http://schemas.openxmlformats.org/wordprocessingml/2006/main">
                <w:rFonts w:ascii="Cambria Math" w:hAnsi="Cambria Math"/>
                <w:i/>
                <w:color w:val="000000"/>
                <w:sz w:val="27"/>
                <w:szCs w:val="27"/>
              </w:rPr>
              <m:t>2</m:t>
            </m:r>
            <m:r>
              <w:rPr xmlns:w="http://schemas.openxmlformats.org/wordprocessingml/2006/main">
                <w:rFonts w:ascii="Cambria Math" w:hAnsi="Cambria Math"/>
                <w:i/>
                <w:color w:val="000000"/>
                <w:sz w:val="27"/>
                <w:szCs w:val="27"/>
              </w:rPr>
              <m:t>(</m:t>
            </m:r>
            <m:r>
              <w:rPr xmlns:w="http://schemas.openxmlformats.org/wordprocessingml/2006/main">
                <w:rFonts w:ascii="Cambria Math" w:hAnsi="Cambria Math"/>
                <w:i/>
                <w:color w:val="000000"/>
                <w:sz w:val="27"/>
                <w:szCs w:val="27"/>
              </w:rPr>
              <m:t>1</m:t>
            </m:r>
            <m:r>
              <w:rPr xmlns:w="http://schemas.openxmlformats.org/wordprocessingml/2006/main">
                <w:rFonts w:ascii="Cambria Math" w:hAnsi="Cambria Math"/>
                <w:i/>
                <w:color w:val="000000"/>
                <w:sz w:val="27"/>
                <w:szCs w:val="27"/>
              </w:rPr>
              <m:t>-</m:t>
            </m:r>
            <m:r>
              <w:rPr xmlns:w="http://schemas.openxmlformats.org/wordprocessingml/2006/main">
                <w:rFonts w:ascii="Cambria Math" w:hAnsi="Cambria Math"/>
                <w:i/>
                <w:color w:val="000000"/>
                <w:sz w:val="27"/>
                <w:szCs w:val="27"/>
              </w:rPr>
              <m:t>n</m:t>
            </m:r>
            <m:r>
              <w:rPr xmlns:w="http://schemas.openxmlformats.org/wordprocessingml/2006/main">
                <w:rFonts w:ascii="Cambria Math" w:hAnsi="Cambria Math"/>
                <w:i/>
                <w:color w:val="000000"/>
                <w:sz w:val="27"/>
                <w:szCs w:val="27"/>
              </w:rPr>
              <m:t>)</m:t>
            </m:r>
            <m:r>
              <w:rPr xmlns:w="http://schemas.openxmlformats.org/wordprocessingml/2006/main">
                <w:rFonts w:ascii="Cambria Math" w:hAnsi="Cambria Math"/>
                <w:i/>
                <w:color w:val="000000"/>
                <w:sz w:val="27"/>
                <w:szCs w:val="27"/>
              </w:rPr>
              <m:t>/</m:t>
            </m:r>
            <m:r>
              <w:rPr xmlns:w="http://schemas.openxmlformats.org/wordprocessingml/2006/main">
                <w:rFonts w:ascii="Cambria Math" w:hAnsi="Cambria Math"/>
                <w:i/>
                <w:color w:val="000000"/>
                <w:sz w:val="27"/>
                <w:szCs w:val="27"/>
              </w:rPr>
              <m:t>(</m:t>
            </m:r>
            <m:r>
              <w:rPr xmlns:w="http://schemas.openxmlformats.org/wordprocessingml/2006/main">
                <w:rFonts w:ascii="Cambria Math" w:hAnsi="Cambria Math"/>
                <w:i/>
                <w:color w:val="000000"/>
                <w:sz w:val="27"/>
                <w:szCs w:val="27"/>
              </w:rPr>
              <m:t>1</m:t>
            </m:r>
            <m:r>
              <w:rPr xmlns:w="http://schemas.openxmlformats.org/wordprocessingml/2006/main">
                <w:rFonts w:ascii="Cambria Math" w:hAnsi="Cambria Math"/>
                <w:i/>
                <w:color w:val="000000"/>
                <w:sz w:val="27"/>
                <w:szCs w:val="27"/>
              </w:rPr>
              <m:t>-</m:t>
            </m:r>
            <m:r>
              <w:rPr xmlns:w="http://schemas.openxmlformats.org/wordprocessingml/2006/main">
                <w:rFonts w:ascii="Cambria Math" w:hAnsi="Cambria Math"/>
                <w:i/>
                <w:color w:val="000000"/>
                <w:sz w:val="27"/>
                <w:szCs w:val="27"/>
              </w:rPr>
              <m:t>2</m:t>
            </m:r>
            <m:r>
              <w:rPr xmlns:w="http://schemas.openxmlformats.org/wordprocessingml/2006/main">
                <w:rFonts w:ascii="Cambria Math" w:hAnsi="Cambria Math"/>
                <w:i/>
                <w:color w:val="000000"/>
                <w:sz w:val="27"/>
                <w:szCs w:val="27"/>
              </w:rPr>
              <m:t>n</m:t>
            </m:r>
            <m:r>
              <w:rPr xmlns:w="http://schemas.openxmlformats.org/wordprocessingml/2006/main">
                <w:rFonts w:ascii="Cambria Math" w:hAnsi="Cambria Math"/>
                <w:i/>
                <w:color w:val="000000"/>
                <w:sz w:val="27"/>
                <w:szCs w:val="27"/>
              </w:rPr>
              <m:t>)</m:t>
            </m:r>
          </m:den>
        </m:f>
      </m:oMath>
    </w:p>
    <w:p>
      <w:pPr>
        <w:pStyle w:val="Body"/>
      </w:pPr>
      <w:r>
        <w:tab/>
      </w:r>
      <w:r>
        <w:rPr>
          <w:rFonts w:ascii="Symbol" w:hAnsi="Symbol" w:hint="default"/>
          <w:rtl w:val="0"/>
        </w:rPr>
        <w:t>g</w:t>
      </w:r>
      <w:r>
        <w:rPr>
          <w:vertAlign w:val="subscript"/>
          <w:rtl w:val="0"/>
        </w:rPr>
        <w:t>DMT</w:t>
      </w:r>
      <w:r>
        <w:rPr>
          <w:rtl w:val="0"/>
        </w:rPr>
        <w:t xml:space="preserve"> = 0.05 to 0.10%</w:t>
      </w:r>
    </w:p>
    <w:p>
      <w:pPr>
        <w:pStyle w:val="Body"/>
      </w:pPr>
      <w:r>
        <w:rPr>
          <w:rtl w:val="0"/>
          <w:lang w:val="en-US"/>
        </w:rPr>
        <w:tab/>
        <w:t>MDMT = constrained deformation modulus</w:t>
      </w:r>
    </w:p>
    <w:p>
      <w:pPr>
        <w:pStyle w:val="Body"/>
      </w:pPr>
      <w:r>
        <w:tab/>
      </w:r>
      <w:r>
        <w:rPr>
          <w:rFonts w:ascii="Symbol" w:hAnsi="Symbol"/>
          <w:rtl w:val="0"/>
        </w:rPr>
        <w:t xml:space="preserve"> </w:t>
      </w:r>
      <w:r>
        <w:rPr>
          <w:i w:val="1"/>
          <w:iCs w:val="1"/>
          <w:rtl w:val="0"/>
        </w:rPr>
        <w:t>n</w:t>
      </w:r>
      <w:r>
        <w:rPr>
          <w:rtl w:val="0"/>
          <w:lang w:val="fr-FR"/>
        </w:rPr>
        <w:t xml:space="preserve"> = Poisson</w:t>
      </w:r>
      <w:r>
        <w:rPr>
          <w:rtl w:val="1"/>
        </w:rPr>
        <w:t>’</w:t>
      </w:r>
      <w:r>
        <w:rPr>
          <w:rtl w:val="0"/>
          <w:lang w:val="en-US"/>
        </w:rPr>
        <w:t>s ratio ~ 0.2 for sands and ~0.35 for clays</w:t>
      </w:r>
      <w:r>
        <w:rPr>
          <w:rFonts w:ascii="Arial Unicode MS" w:cs="Arial Unicode MS" w:hAnsi="Arial Unicode MS" w:eastAsia="Arial Unicode MS"/>
          <w:b w:val="0"/>
          <w:bCs w:val="0"/>
          <w:i w:val="0"/>
          <w:iCs w:val="0"/>
        </w:rPr>
        <w:br w:type="page"/>
      </w:r>
    </w:p>
    <w:p>
      <w:pPr>
        <w:pStyle w:val="Body"/>
      </w:pPr>
      <w:r>
        <w:rPr>
          <w:rtl w:val="0"/>
          <w:lang w:val="en-US"/>
        </w:rPr>
        <w:t>Figures 46 shows how to create shear modulus degradation curves and Figure 47 shows examples of shear modulus degradation curves.</w:t>
      </w:r>
    </w:p>
    <w:p>
      <w:pPr>
        <w:pStyle w:val="Body"/>
      </w:pPr>
    </w:p>
    <w:p>
      <w:pPr>
        <w:pStyle w:val="Body"/>
      </w:pPr>
      <w:r>
        <w:drawing xmlns:a="http://schemas.openxmlformats.org/drawingml/2006/main">
          <wp:inline distT="0" distB="0" distL="0" distR="0">
            <wp:extent cx="5760720" cy="4068201"/>
            <wp:effectExtent l="0" t="0" r="0" b="0"/>
            <wp:docPr id="1073741889" name="officeArt object" descr="Picture 194"/>
            <wp:cNvGraphicFramePr/>
            <a:graphic xmlns:a="http://schemas.openxmlformats.org/drawingml/2006/main">
              <a:graphicData uri="http://schemas.openxmlformats.org/drawingml/2006/picture">
                <pic:pic xmlns:pic="http://schemas.openxmlformats.org/drawingml/2006/picture">
                  <pic:nvPicPr>
                    <pic:cNvPr id="1073741889" name="Picture 194" descr="Picture 194"/>
                    <pic:cNvPicPr>
                      <a:picLocks noChangeAspect="1"/>
                    </pic:cNvPicPr>
                  </pic:nvPicPr>
                  <pic:blipFill>
                    <a:blip r:embed="rId67">
                      <a:extLst/>
                    </a:blip>
                    <a:stretch>
                      <a:fillRect/>
                    </a:stretch>
                  </pic:blipFill>
                  <pic:spPr>
                    <a:xfrm>
                      <a:off x="0" y="0"/>
                      <a:ext cx="5760720" cy="4068201"/>
                    </a:xfrm>
                    <a:prstGeom prst="rect">
                      <a:avLst/>
                    </a:prstGeom>
                    <a:ln w="12700" cap="flat">
                      <a:noFill/>
                      <a:miter lim="400000"/>
                    </a:ln>
                    <a:effectLst/>
                  </pic:spPr>
                </pic:pic>
              </a:graphicData>
            </a:graphic>
          </wp:inline>
        </w:drawing>
      </w:r>
    </w:p>
    <w:p>
      <w:pPr>
        <w:pStyle w:val="Body"/>
      </w:pPr>
      <w:r>
        <w:rPr>
          <w:rtl w:val="0"/>
          <w:lang w:val="en-US"/>
        </w:rPr>
        <w:t>Figure 46: Developing shear modulus degradation curves</w:t>
      </w:r>
    </w:p>
    <w:p>
      <w:pPr>
        <w:pStyle w:val="Body"/>
      </w:pPr>
      <w:r>
        <w:drawing xmlns:a="http://schemas.openxmlformats.org/drawingml/2006/main">
          <wp:inline distT="0" distB="0" distL="0" distR="0">
            <wp:extent cx="5766436" cy="4322978"/>
            <wp:effectExtent l="0" t="0" r="0" b="0"/>
            <wp:docPr id="1073741890" name="officeArt object" descr="Picture 195"/>
            <wp:cNvGraphicFramePr/>
            <a:graphic xmlns:a="http://schemas.openxmlformats.org/drawingml/2006/main">
              <a:graphicData uri="http://schemas.openxmlformats.org/drawingml/2006/picture">
                <pic:pic xmlns:pic="http://schemas.openxmlformats.org/drawingml/2006/picture">
                  <pic:nvPicPr>
                    <pic:cNvPr id="1073741890" name="Picture 195" descr="Picture 195"/>
                    <pic:cNvPicPr>
                      <a:picLocks noChangeAspect="1"/>
                    </pic:cNvPicPr>
                  </pic:nvPicPr>
                  <pic:blipFill>
                    <a:blip r:embed="rId68">
                      <a:extLst/>
                    </a:blip>
                    <a:stretch>
                      <a:fillRect/>
                    </a:stretch>
                  </pic:blipFill>
                  <pic:spPr>
                    <a:xfrm>
                      <a:off x="0" y="0"/>
                      <a:ext cx="5766436" cy="4322978"/>
                    </a:xfrm>
                    <a:prstGeom prst="rect">
                      <a:avLst/>
                    </a:prstGeom>
                    <a:ln w="12700" cap="flat">
                      <a:noFill/>
                      <a:miter lim="400000"/>
                    </a:ln>
                    <a:effectLst/>
                  </pic:spPr>
                </pic:pic>
              </a:graphicData>
            </a:graphic>
          </wp:inline>
        </w:drawing>
      </w:r>
    </w:p>
    <w:p>
      <w:pPr>
        <w:pStyle w:val="Body"/>
      </w:pPr>
    </w:p>
    <w:p>
      <w:pPr>
        <w:pStyle w:val="Body"/>
      </w:pPr>
      <w:r>
        <w:rPr>
          <w:rtl w:val="0"/>
          <w:lang w:val="en-US"/>
        </w:rPr>
        <w:t>Figure 47: Example of Shear Modulus Degradation Curves</w:t>
      </w:r>
    </w:p>
    <w:p>
      <w:pPr>
        <w:pStyle w:val="Body"/>
      </w:pPr>
    </w:p>
    <w:p>
      <w:pPr>
        <w:pStyle w:val="Body"/>
      </w:pPr>
      <w:r>
        <w:rPr>
          <w:rtl w:val="0"/>
          <w:lang w:val="en-US"/>
        </w:rPr>
        <w:t>For liquefaction analyses, correlation charts shown as Figure 48 provides zones of liquefaction to the left side of the design line for K</w:t>
      </w:r>
      <w:r>
        <w:rPr>
          <w:vertAlign w:val="subscript"/>
          <w:rtl w:val="0"/>
        </w:rPr>
        <w:t>D</w:t>
      </w:r>
      <w:r>
        <w:rPr>
          <w:rtl w:val="0"/>
          <w:lang w:val="en-US"/>
        </w:rPr>
        <w:t xml:space="preserve"> and Vs.  Determining potential liquefactions using two separate design charts gives the engineer confidence in his/her design.  Figure 49 shows liquefaction analyses for a site.</w:t>
      </w:r>
    </w:p>
    <w:p>
      <w:pPr>
        <w:pStyle w:val="Body"/>
      </w:pPr>
      <w:r>
        <w:drawing xmlns:a="http://schemas.openxmlformats.org/drawingml/2006/main">
          <wp:inline distT="0" distB="0" distL="0" distR="0">
            <wp:extent cx="2887352" cy="2051685"/>
            <wp:effectExtent l="0" t="0" r="0" b="0"/>
            <wp:docPr id="1073741891" name="officeArt object" descr="Picture 218"/>
            <wp:cNvGraphicFramePr/>
            <a:graphic xmlns:a="http://schemas.openxmlformats.org/drawingml/2006/main">
              <a:graphicData uri="http://schemas.openxmlformats.org/drawingml/2006/picture">
                <pic:pic xmlns:pic="http://schemas.openxmlformats.org/drawingml/2006/picture">
                  <pic:nvPicPr>
                    <pic:cNvPr id="1073741891" name="Picture 218" descr="Picture 218"/>
                    <pic:cNvPicPr>
                      <a:picLocks noChangeAspect="1"/>
                    </pic:cNvPicPr>
                  </pic:nvPicPr>
                  <pic:blipFill>
                    <a:blip r:embed="rId69">
                      <a:extLst/>
                    </a:blip>
                    <a:stretch>
                      <a:fillRect/>
                    </a:stretch>
                  </pic:blipFill>
                  <pic:spPr>
                    <a:xfrm>
                      <a:off x="0" y="0"/>
                      <a:ext cx="2887352" cy="2051685"/>
                    </a:xfrm>
                    <a:prstGeom prst="rect">
                      <a:avLst/>
                    </a:prstGeom>
                    <a:ln w="12700" cap="flat">
                      <a:noFill/>
                      <a:miter lim="400000"/>
                    </a:ln>
                    <a:effectLst/>
                  </pic:spPr>
                </pic:pic>
              </a:graphicData>
            </a:graphic>
          </wp:inline>
        </w:drawing>
      </w:r>
      <w:r>
        <w:drawing xmlns:a="http://schemas.openxmlformats.org/drawingml/2006/main">
          <wp:inline distT="0" distB="0" distL="0" distR="0">
            <wp:extent cx="2851150" cy="2121304"/>
            <wp:effectExtent l="0" t="0" r="0" b="0"/>
            <wp:docPr id="1073741892" name="officeArt object" descr="Picture 219"/>
            <wp:cNvGraphicFramePr/>
            <a:graphic xmlns:a="http://schemas.openxmlformats.org/drawingml/2006/main">
              <a:graphicData uri="http://schemas.openxmlformats.org/drawingml/2006/picture">
                <pic:pic xmlns:pic="http://schemas.openxmlformats.org/drawingml/2006/picture">
                  <pic:nvPicPr>
                    <pic:cNvPr id="1073741892" name="Picture 219" descr="Picture 219"/>
                    <pic:cNvPicPr>
                      <a:picLocks noChangeAspect="1"/>
                    </pic:cNvPicPr>
                  </pic:nvPicPr>
                  <pic:blipFill>
                    <a:blip r:embed="rId70">
                      <a:extLst/>
                    </a:blip>
                    <a:stretch>
                      <a:fillRect/>
                    </a:stretch>
                  </pic:blipFill>
                  <pic:spPr>
                    <a:xfrm>
                      <a:off x="0" y="0"/>
                      <a:ext cx="2851150" cy="2121304"/>
                    </a:xfrm>
                    <a:prstGeom prst="rect">
                      <a:avLst/>
                    </a:prstGeom>
                    <a:ln w="12700" cap="flat">
                      <a:noFill/>
                      <a:miter lim="400000"/>
                    </a:ln>
                    <a:effectLst/>
                  </pic:spPr>
                </pic:pic>
              </a:graphicData>
            </a:graphic>
          </wp:inline>
        </w:drawing>
      </w:r>
    </w:p>
    <w:p>
      <w:pPr>
        <w:pStyle w:val="Body"/>
      </w:pPr>
    </w:p>
    <w:p>
      <w:pPr>
        <w:pStyle w:val="Body"/>
      </w:pPr>
      <w:r>
        <w:rPr>
          <w:rtl w:val="0"/>
          <w:lang w:val="en-US"/>
        </w:rPr>
        <w:t>Figure 48: Design charts for liquefaction</w:t>
        <w:tab/>
        <w:tab/>
        <w:t>Figure 49: Example liquefaction analyses</w:t>
      </w:r>
    </w:p>
    <w:sectPr>
      <w:headerReference w:type="default" r:id="rId71"/>
      <w:footerReference w:type="default" r:id="rId72"/>
      <w:pgSz w:w="12240" w:h="15840" w:orient="portrait"/>
      <w:pgMar w:top="1440" w:right="1440" w:bottom="1440" w:left="1440"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 w:name="Calibri Light">
    <w:charset w:val="00"/>
    <w:family w:val="roman"/>
    <w:pitch w:val="default"/>
  </w:font>
  <w:font w:name="Cambri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3"/>
  </w:abstractNum>
  <w:abstractNum w:abstractNumId="3">
    <w:multiLevelType w:val="hybridMultilevel"/>
    <w:styleLink w:val="Imported Style 3"/>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Imported Style 4"/>
  </w:abstractNum>
  <w:abstractNum w:abstractNumId="5">
    <w:multiLevelType w:val="hybridMultilevel"/>
    <w:styleLink w:val="Imported Style 4"/>
    <w:lvl w:ilvl="0">
      <w:start w:val="1"/>
      <w:numFmt w:val="decimal"/>
      <w:suff w:val="nothing"/>
      <w:lvlText w:val="%1."/>
      <w:lvlJc w:val="left"/>
      <w:pPr>
        <w:ind w:left="340" w:hanging="34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num" w:pos="1440"/>
        </w:tabs>
        <w:ind w:left="1658" w:hanging="578"/>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num" w:pos="2160"/>
        </w:tabs>
        <w:ind w:left="2378" w:hanging="5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num" w:pos="2880"/>
        </w:tabs>
        <w:ind w:left="3098" w:hanging="57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num" w:pos="3600"/>
        </w:tabs>
        <w:ind w:left="3818" w:hanging="578"/>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num" w:pos="4320"/>
        </w:tabs>
        <w:ind w:left="4538" w:hanging="52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num" w:pos="5040"/>
        </w:tabs>
        <w:ind w:left="5258" w:hanging="578"/>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num" w:pos="5760"/>
        </w:tabs>
        <w:ind w:left="5978" w:hanging="578"/>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num" w:pos="6480"/>
        </w:tabs>
        <w:ind w:left="6698" w:hanging="52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4"/>
    <w:lvlOverride w:ilvl="0">
      <w:lvl w:ilvl="0">
        <w:start w:val="1"/>
        <w:numFmt w:val="decimal"/>
        <w:suff w:val="nothing"/>
        <w:lvlText w:val="%1."/>
        <w:lvlJc w:val="left"/>
        <w:pPr>
          <w:ind w:left="81" w:hanging="8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ind w:left="1320" w:hanging="2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2059" w:hanging="20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760" w:hanging="2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3480" w:hanging="2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4219" w:hanging="20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4920" w:hanging="2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5640" w:hanging="2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6379" w:hanging="201"/>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numbering" w:styleId="Imported Style 1">
    <w:name w:val="Imported Style 1"/>
    <w:pPr>
      <w:numPr>
        <w:numId w:val="1"/>
      </w:numPr>
    </w:pPr>
  </w:style>
  <w:style w:type="paragraph" w:styleId="ISC6_body">
    <w:name w:val="ISC6_body"/>
    <w:next w:val="ISC6_body"/>
    <w:pPr>
      <w:keepNext w:val="0"/>
      <w:keepLines w:val="0"/>
      <w:pageBreakBefore w:val="0"/>
      <w:widowControl w:val="1"/>
      <w:shd w:val="clear" w:color="auto" w:fill="auto"/>
      <w:suppressAutoHyphens w:val="0"/>
      <w:bidi w:val="0"/>
      <w:spacing w:before="0" w:after="0" w:line="240" w:lineRule="auto"/>
      <w:ind w:left="0" w:right="0" w:firstLine="227"/>
      <w:jc w:val="both"/>
      <w:outlineLvl w:val="9"/>
    </w:pPr>
    <w:rPr>
      <w:rFonts w:ascii="Calibri Light" w:cs="Arial Unicode MS" w:hAnsi="Calibri Light"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Fill>
        <w14:solidFill>
          <w14:srgbClr w14:val="000000"/>
        </w14:solidFill>
      </w14:textFill>
    </w:rPr>
  </w:style>
  <w:style w:type="paragraph" w:styleId="ISC6_figurename">
    <w:name w:val="ISC6_figurename"/>
    <w:next w:val="ISC6_figurename"/>
    <w:pPr>
      <w:keepNext w:val="0"/>
      <w:keepLines w:val="0"/>
      <w:pageBreakBefore w:val="0"/>
      <w:widowControl w:val="1"/>
      <w:shd w:val="clear" w:color="auto" w:fill="auto"/>
      <w:tabs>
        <w:tab w:val="left" w:pos="360"/>
      </w:tabs>
      <w:suppressAutoHyphens w:val="0"/>
      <w:bidi w:val="0"/>
      <w:spacing w:before="0" w:after="120" w:line="240" w:lineRule="auto"/>
      <w:ind w:left="0" w:right="0" w:firstLine="227"/>
      <w:jc w:val="center"/>
      <w:outlineLvl w:val="9"/>
    </w:pPr>
    <w:rPr>
      <w:rFonts w:ascii="Calibri Light" w:cs="Arial Unicode MS" w:hAnsi="Calibri Light" w:eastAsia="Arial Unicode MS"/>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lang w:val="en-US"/>
      <w14:textFill>
        <w14:solidFill>
          <w14:srgbClr w14:val="000000"/>
        </w14:solidFill>
      </w14:textFill>
    </w:rPr>
  </w:style>
  <w:style w:type="numbering" w:styleId="Imported Style 3">
    <w:name w:val="Imported Style 3"/>
    <w:pPr>
      <w:numPr>
        <w:numId w:val="3"/>
      </w:numPr>
    </w:pPr>
  </w:style>
  <w:style w:type="paragraph" w:styleId="ISC6_tablecaption">
    <w:name w:val="ISC6_tablecaption"/>
    <w:next w:val="ISC6_tablecaption"/>
    <w:pPr>
      <w:keepNext w:val="0"/>
      <w:keepLines w:val="0"/>
      <w:pageBreakBefore w:val="0"/>
      <w:widowControl w:val="1"/>
      <w:shd w:val="clear" w:color="auto" w:fill="auto"/>
      <w:suppressAutoHyphens w:val="0"/>
      <w:bidi w:val="0"/>
      <w:spacing w:before="120" w:after="0" w:line="240" w:lineRule="auto"/>
      <w:ind w:left="251" w:right="0" w:hanging="251"/>
      <w:jc w:val="center"/>
      <w:outlineLvl w:val="9"/>
    </w:pPr>
    <w:rPr>
      <w:rFonts w:ascii="Calibri Light" w:cs="Calibri Light" w:hAnsi="Calibri Light" w:eastAsia="Calibri Light"/>
      <w:b w:val="0"/>
      <w:bCs w:val="0"/>
      <w:i w:val="0"/>
      <w:iCs w:val="0"/>
      <w:caps w:val="0"/>
      <w:smallCaps w:val="0"/>
      <w:strike w:val="0"/>
      <w:dstrike w:val="0"/>
      <w:outline w:val="0"/>
      <w:color w:val="000000"/>
      <w:spacing w:val="0"/>
      <w:kern w:val="0"/>
      <w:position w:val="0"/>
      <w:sz w:val="16"/>
      <w:szCs w:val="16"/>
      <w:u w:val="none" w:color="000000"/>
      <w:shd w:val="nil" w:color="auto" w:fill="auto"/>
      <w:vertAlign w:val="baseline"/>
      <w:lang w:val="en-US"/>
      <w14:textFill>
        <w14:solidFill>
          <w14:srgbClr w14:val="000000"/>
        </w14:solidFill>
      </w14:textFill>
    </w:rPr>
  </w:style>
  <w:style w:type="numbering" w:styleId="Imported Style 4">
    <w:name w:val="Imported Style 4"/>
    <w:pPr>
      <w:numPr>
        <w:numId w:val="5"/>
      </w:numPr>
    </w:pPr>
  </w:style>
  <w:style w:type="paragraph" w:styleId="DMT Table Title">
    <w:name w:val="DMT Table Title"/>
    <w:next w:val="DMT Table Title"/>
    <w:pPr>
      <w:keepNext w:val="0"/>
      <w:keepLines w:val="0"/>
      <w:pageBreakBefore w:val="0"/>
      <w:widowControl w:val="1"/>
      <w:shd w:val="clear" w:color="auto" w:fill="auto"/>
      <w:suppressAutoHyphens w:val="0"/>
      <w:bidi w:val="0"/>
      <w:spacing w:before="240" w:after="120" w:line="200" w:lineRule="exact"/>
      <w:ind w:left="0" w:right="0" w:firstLine="284"/>
      <w:jc w:val="center"/>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image" Target="media/image21.jpeg"/><Relationship Id="rId25" Type="http://schemas.openxmlformats.org/officeDocument/2006/relationships/image" Target="media/image22.jpeg"/><Relationship Id="rId26" Type="http://schemas.openxmlformats.org/officeDocument/2006/relationships/image" Target="media/image23.jpeg"/><Relationship Id="rId27" Type="http://schemas.openxmlformats.org/officeDocument/2006/relationships/image" Target="media/image24.jpeg"/><Relationship Id="rId28" Type="http://schemas.openxmlformats.org/officeDocument/2006/relationships/image" Target="media/image25.jpeg"/><Relationship Id="rId29" Type="http://schemas.openxmlformats.org/officeDocument/2006/relationships/image" Target="media/image26.jpeg"/><Relationship Id="rId30" Type="http://schemas.openxmlformats.org/officeDocument/2006/relationships/image" Target="media/image27.jpeg"/><Relationship Id="rId31" Type="http://schemas.openxmlformats.org/officeDocument/2006/relationships/image" Target="media/image28.jpeg"/><Relationship Id="rId32" Type="http://schemas.openxmlformats.org/officeDocument/2006/relationships/image" Target="media/image29.jpeg"/><Relationship Id="rId33" Type="http://schemas.openxmlformats.org/officeDocument/2006/relationships/image" Target="media/image30.jpeg"/><Relationship Id="rId34" Type="http://schemas.openxmlformats.org/officeDocument/2006/relationships/image" Target="media/image31.jpeg"/><Relationship Id="rId35" Type="http://schemas.openxmlformats.org/officeDocument/2006/relationships/image" Target="media/image32.jpeg"/><Relationship Id="rId36" Type="http://schemas.openxmlformats.org/officeDocument/2006/relationships/image" Target="media/image33.jpeg"/><Relationship Id="rId37" Type="http://schemas.openxmlformats.org/officeDocument/2006/relationships/image" Target="media/image34.jpeg"/><Relationship Id="rId38" Type="http://schemas.openxmlformats.org/officeDocument/2006/relationships/image" Target="media/image35.jpeg"/><Relationship Id="rId39" Type="http://schemas.openxmlformats.org/officeDocument/2006/relationships/image" Target="media/image36.jpeg"/><Relationship Id="rId40" Type="http://schemas.openxmlformats.org/officeDocument/2006/relationships/image" Target="media/image37.jpeg"/><Relationship Id="rId41" Type="http://schemas.openxmlformats.org/officeDocument/2006/relationships/image" Target="media/image38.jpeg"/><Relationship Id="rId42" Type="http://schemas.openxmlformats.org/officeDocument/2006/relationships/image" Target="media/image39.jpeg"/><Relationship Id="rId43" Type="http://schemas.openxmlformats.org/officeDocument/2006/relationships/image" Target="media/image40.jpeg"/><Relationship Id="rId44" Type="http://schemas.openxmlformats.org/officeDocument/2006/relationships/image" Target="media/image41.jpeg"/><Relationship Id="rId45" Type="http://schemas.openxmlformats.org/officeDocument/2006/relationships/image" Target="media/image42.jpeg"/><Relationship Id="rId46" Type="http://schemas.openxmlformats.org/officeDocument/2006/relationships/image" Target="media/image1.png"/><Relationship Id="rId47" Type="http://schemas.openxmlformats.org/officeDocument/2006/relationships/image" Target="media/image2.png"/><Relationship Id="rId48" Type="http://schemas.openxmlformats.org/officeDocument/2006/relationships/image" Target="media/image3.pn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70" Type="http://schemas.openxmlformats.org/officeDocument/2006/relationships/image" Target="media/image64.jpeg"/><Relationship Id="rId71" Type="http://schemas.openxmlformats.org/officeDocument/2006/relationships/header" Target="header1.xml"/><Relationship Id="rId72" Type="http://schemas.openxmlformats.org/officeDocument/2006/relationships/footer" Target="footer1.xml"/><Relationship Id="rId73" Type="http://schemas.openxmlformats.org/officeDocument/2006/relationships/numbering" Target="numbering.xml"/><Relationship Id="rId74"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