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A73A8" w14:textId="5FF3EF63" w:rsidR="00D3259E" w:rsidRDefault="00B5480E">
      <w:r>
        <w:t>Minimizing Uncertainty</w:t>
      </w:r>
    </w:p>
    <w:p w14:paraId="04F67B2F" w14:textId="3B02E870" w:rsidR="00DB4685" w:rsidRPr="00003835" w:rsidRDefault="00DE7D6C">
      <w:pPr>
        <w:rPr>
          <w:color w:val="000000" w:themeColor="text1"/>
        </w:rPr>
      </w:pPr>
      <w:r>
        <w:t>In many engineering disciplines</w:t>
      </w:r>
      <w:r w:rsidR="002E6FD1">
        <w:t xml:space="preserve"> design</w:t>
      </w:r>
      <w:r>
        <w:t>s</w:t>
      </w:r>
      <w:r w:rsidR="00AD0F71">
        <w:t xml:space="preserve"> are</w:t>
      </w:r>
      <w:r w:rsidR="002E6FD1">
        <w:t xml:space="preserve"> based on the performance of </w:t>
      </w:r>
      <w:r w:rsidR="00910570">
        <w:t>“</w:t>
      </w:r>
      <w:r w:rsidR="002E6FD1">
        <w:t>man-made</w:t>
      </w:r>
      <w:r w:rsidR="00910570">
        <w:t>”</w:t>
      </w:r>
      <w:r w:rsidR="002E6FD1">
        <w:t xml:space="preserve"> products, while geotechnical engineer</w:t>
      </w:r>
      <w:r>
        <w:t>s</w:t>
      </w:r>
      <w:r w:rsidR="002E6FD1">
        <w:t xml:space="preserve"> design from measure</w:t>
      </w:r>
      <w:r>
        <w:t>d</w:t>
      </w:r>
      <w:r w:rsidR="00006537">
        <w:t xml:space="preserve"> properties </w:t>
      </w:r>
      <w:r w:rsidR="002E6FD1">
        <w:t xml:space="preserve">of soil or rock </w:t>
      </w:r>
      <w:r>
        <w:t xml:space="preserve">materials </w:t>
      </w:r>
      <w:r w:rsidR="002E6FD1">
        <w:t xml:space="preserve">placed </w:t>
      </w:r>
      <w:r w:rsidR="00006537">
        <w:t>at</w:t>
      </w:r>
      <w:r w:rsidR="002E6FD1">
        <w:t xml:space="preserve"> the site by “mother-nature.”</w:t>
      </w:r>
      <w:r w:rsidR="00006537">
        <w:t xml:space="preserve">  </w:t>
      </w:r>
      <w:r>
        <w:t>In this context, t</w:t>
      </w:r>
      <w:r w:rsidR="00006537">
        <w:t xml:space="preserve">he geotechnical engineer should choose the most accurate </w:t>
      </w:r>
      <w:r w:rsidR="00907D7A">
        <w:t xml:space="preserve">analytical </w:t>
      </w:r>
      <w:r w:rsidR="00006537">
        <w:t>model</w:t>
      </w:r>
      <w:r w:rsidR="00907D7A">
        <w:t xml:space="preserve"> for his/her design to best predict the outcome or performance of the structure.  </w:t>
      </w:r>
      <w:r w:rsidR="005D03AC">
        <w:t>The geotechnical engineer must use test</w:t>
      </w:r>
      <w:r w:rsidR="00DB4685">
        <w:t>s</w:t>
      </w:r>
      <w:r w:rsidR="005D03AC">
        <w:t xml:space="preserve"> that accurately m</w:t>
      </w:r>
      <w:r w:rsidR="0043583E">
        <w:t>easur</w:t>
      </w:r>
      <w:r w:rsidR="005D03AC">
        <w:t>e</w:t>
      </w:r>
      <w:r w:rsidR="0043583E">
        <w:t xml:space="preserve"> the soil or rock properties </w:t>
      </w:r>
      <w:r w:rsidR="005D03AC">
        <w:t xml:space="preserve">to input into </w:t>
      </w:r>
      <w:r w:rsidR="0014792E">
        <w:t>his/her</w:t>
      </w:r>
      <w:r w:rsidR="0043583E">
        <w:t xml:space="preserve"> </w:t>
      </w:r>
      <w:r w:rsidR="005D03AC">
        <w:t xml:space="preserve">design </w:t>
      </w:r>
      <w:r w:rsidR="0043583E">
        <w:t>model</w:t>
      </w:r>
      <w:r w:rsidR="005D03AC">
        <w:t>.  Failmezger and Bullock (2008) p</w:t>
      </w:r>
      <w:r>
        <w:t>resent a series of guidelines, e.g.</w:t>
      </w:r>
      <w:r w:rsidR="005D03AC">
        <w:t xml:space="preserve">, </w:t>
      </w:r>
      <w:r w:rsidR="005D03AC" w:rsidRPr="00DB4685">
        <w:rPr>
          <w:color w:val="0000FF"/>
        </w:rPr>
        <w:t>“Which in-situ test should I use—a designer’s guide.”</w:t>
      </w:r>
      <w:r w:rsidRPr="00DE7D6C">
        <w:rPr>
          <w:color w:val="000000" w:themeColor="text1"/>
        </w:rPr>
        <w:t>, to streamline this process.</w:t>
      </w:r>
      <w:r w:rsidR="00003835">
        <w:rPr>
          <w:color w:val="000000" w:themeColor="text1"/>
        </w:rPr>
        <w:t xml:space="preserve">  The engineer should avoid using a perhaps “cheaper” test and correlat</w:t>
      </w:r>
      <w:r>
        <w:rPr>
          <w:color w:val="000000" w:themeColor="text1"/>
        </w:rPr>
        <w:t>e soil/r</w:t>
      </w:r>
      <w:r w:rsidR="00BF4C8E">
        <w:rPr>
          <w:color w:val="000000" w:themeColor="text1"/>
        </w:rPr>
        <w:t>ock properties</w:t>
      </w:r>
      <w:r w:rsidR="00003835">
        <w:rPr>
          <w:color w:val="000000" w:themeColor="text1"/>
        </w:rPr>
        <w:t xml:space="preserve"> with more accurate</w:t>
      </w:r>
      <w:r w:rsidR="00BF4C8E">
        <w:rPr>
          <w:color w:val="000000" w:themeColor="text1"/>
        </w:rPr>
        <w:t>/specific</w:t>
      </w:r>
      <w:r w:rsidR="00003835">
        <w:rPr>
          <w:color w:val="000000" w:themeColor="text1"/>
        </w:rPr>
        <w:t xml:space="preserve"> test</w:t>
      </w:r>
      <w:r w:rsidR="00BF4C8E">
        <w:rPr>
          <w:color w:val="000000" w:themeColor="text1"/>
        </w:rPr>
        <w:t>s</w:t>
      </w:r>
      <w:r w:rsidR="00003835">
        <w:rPr>
          <w:color w:val="000000" w:themeColor="text1"/>
        </w:rPr>
        <w:t xml:space="preserve"> for design</w:t>
      </w:r>
      <w:r w:rsidR="00F33F26">
        <w:rPr>
          <w:color w:val="000000" w:themeColor="text1"/>
        </w:rPr>
        <w:t>.  Th</w:t>
      </w:r>
      <w:r w:rsidR="00BF4C8E">
        <w:rPr>
          <w:color w:val="000000" w:themeColor="text1"/>
        </w:rPr>
        <w:t>e low-cost testing approach</w:t>
      </w:r>
      <w:r w:rsidR="00F33F26">
        <w:rPr>
          <w:color w:val="000000" w:themeColor="text1"/>
        </w:rPr>
        <w:t xml:space="preserve"> only creates a</w:t>
      </w:r>
      <w:r w:rsidR="00BF4C8E">
        <w:rPr>
          <w:color w:val="000000" w:themeColor="text1"/>
        </w:rPr>
        <w:t xml:space="preserve">dditional, undesired </w:t>
      </w:r>
      <w:r w:rsidR="00F33F26">
        <w:rPr>
          <w:color w:val="000000" w:themeColor="text1"/>
        </w:rPr>
        <w:t>layer</w:t>
      </w:r>
      <w:r w:rsidR="00BF4C8E">
        <w:rPr>
          <w:color w:val="000000" w:themeColor="text1"/>
        </w:rPr>
        <w:t>s</w:t>
      </w:r>
      <w:r w:rsidR="00F33F26">
        <w:rPr>
          <w:color w:val="000000" w:themeColor="text1"/>
        </w:rPr>
        <w:t xml:space="preserve"> of uncertainty.  The engineer should s</w:t>
      </w:r>
      <w:r w:rsidR="00BF4C8E">
        <w:rPr>
          <w:color w:val="000000" w:themeColor="text1"/>
        </w:rPr>
        <w:t xml:space="preserve">pecifically </w:t>
      </w:r>
      <w:r w:rsidR="00F33F26">
        <w:rPr>
          <w:color w:val="000000" w:themeColor="text1"/>
        </w:rPr>
        <w:t>use the more accurate test</w:t>
      </w:r>
      <w:r w:rsidR="00BF4C8E">
        <w:rPr>
          <w:color w:val="000000" w:themeColor="text1"/>
        </w:rPr>
        <w:t>ing</w:t>
      </w:r>
      <w:r w:rsidR="00F33F26">
        <w:rPr>
          <w:color w:val="000000" w:themeColor="text1"/>
        </w:rPr>
        <w:t xml:space="preserve"> for design, </w:t>
      </w:r>
      <w:r w:rsidR="00BF4C8E">
        <w:rPr>
          <w:color w:val="000000" w:themeColor="text1"/>
        </w:rPr>
        <w:t>and</w:t>
      </w:r>
      <w:r w:rsidR="00F33F26">
        <w:rPr>
          <w:color w:val="000000" w:themeColor="text1"/>
        </w:rPr>
        <w:t xml:space="preserve"> use the “cheaper” test</w:t>
      </w:r>
      <w:r w:rsidR="00BF4C8E">
        <w:rPr>
          <w:color w:val="000000" w:themeColor="text1"/>
        </w:rPr>
        <w:t>ing</w:t>
      </w:r>
      <w:r w:rsidR="00F33F26">
        <w:rPr>
          <w:color w:val="000000" w:themeColor="text1"/>
        </w:rPr>
        <w:t xml:space="preserve"> </w:t>
      </w:r>
      <w:r w:rsidR="00BF4C8E">
        <w:rPr>
          <w:color w:val="000000" w:themeColor="text1"/>
        </w:rPr>
        <w:t xml:space="preserve">for simpler objectives, such as </w:t>
      </w:r>
      <w:r w:rsidR="00F33F26">
        <w:rPr>
          <w:color w:val="000000" w:themeColor="text1"/>
        </w:rPr>
        <w:t xml:space="preserve">identify </w:t>
      </w:r>
      <w:r w:rsidR="00BF4C8E">
        <w:rPr>
          <w:color w:val="000000" w:themeColor="text1"/>
        </w:rPr>
        <w:t xml:space="preserve">soil strata, profiling of critical layers, </w:t>
      </w:r>
      <w:r w:rsidR="00F33F26">
        <w:rPr>
          <w:color w:val="000000" w:themeColor="text1"/>
        </w:rPr>
        <w:t>or p</w:t>
      </w:r>
      <w:r w:rsidR="00BF4C8E">
        <w:rPr>
          <w:color w:val="000000" w:themeColor="text1"/>
        </w:rPr>
        <w:t xml:space="preserve">inpointing locations at the site </w:t>
      </w:r>
      <w:r w:rsidR="005B44EC">
        <w:rPr>
          <w:color w:val="000000" w:themeColor="text1"/>
        </w:rPr>
        <w:t>that need accurate testing</w:t>
      </w:r>
      <w:r w:rsidR="00F33F26">
        <w:rPr>
          <w:color w:val="000000" w:themeColor="text1"/>
        </w:rPr>
        <w:t>.</w:t>
      </w:r>
    </w:p>
    <w:p w14:paraId="02DA346F" w14:textId="126B081A" w:rsidR="00DB4685" w:rsidRDefault="005B44EC">
      <w:r>
        <w:t>From a statistical viewpoint, s</w:t>
      </w:r>
      <w:r w:rsidR="00265837" w:rsidRPr="00265837">
        <w:t xml:space="preserve">oil/rock properties </w:t>
      </w:r>
      <w:r w:rsidR="00265837">
        <w:t xml:space="preserve">tend to follow the central limit theory of probability, where </w:t>
      </w:r>
      <w:r w:rsidR="006F1E8B">
        <w:t xml:space="preserve">values cluster near their average forming a “bell-shaped” distribution.  </w:t>
      </w:r>
      <w:r w:rsidR="006F1E8B" w:rsidRPr="008B5091">
        <w:rPr>
          <w:color w:val="0000FF"/>
        </w:rPr>
        <w:t>Duncan (2001)</w:t>
      </w:r>
      <w:r w:rsidR="006F1E8B">
        <w:t xml:space="preserve"> </w:t>
      </w:r>
      <w:r w:rsidR="0018743F">
        <w:t>suggests that the minimum or maximum value occurs three (3) standard deviations from the average value.</w:t>
      </w:r>
      <w:r w:rsidR="00910570">
        <w:t xml:space="preserve">  As an estimate of standard deviation, Duncan suggests for the engineer to determine what the largest and smallest value of those properties can be and divide their difference by 6.</w:t>
      </w:r>
      <w:r w:rsidR="007F134C">
        <w:t xml:space="preserve">  </w:t>
      </w:r>
      <w:r w:rsidR="007F134C" w:rsidRPr="007F134C">
        <w:rPr>
          <w:color w:val="0000FF"/>
        </w:rPr>
        <w:t>Wickremesinghe (1989)</w:t>
      </w:r>
      <w:r w:rsidR="007F134C">
        <w:t xml:space="preserve"> and </w:t>
      </w:r>
      <w:proofErr w:type="spellStart"/>
      <w:r w:rsidR="007F134C" w:rsidRPr="007F134C">
        <w:rPr>
          <w:color w:val="0000FF"/>
        </w:rPr>
        <w:t>Uzielli</w:t>
      </w:r>
      <w:proofErr w:type="spellEnd"/>
      <w:r w:rsidR="007F134C" w:rsidRPr="007F134C">
        <w:rPr>
          <w:color w:val="0000FF"/>
        </w:rPr>
        <w:t xml:space="preserve"> (2008)</w:t>
      </w:r>
      <w:r w:rsidR="007F134C">
        <w:t xml:space="preserve"> show methods to statistically analyze geotechnical data.</w:t>
      </w:r>
    </w:p>
    <w:p w14:paraId="5E30053E" w14:textId="7882E722" w:rsidR="009755D9" w:rsidRDefault="009755D9">
      <w:r>
        <w:t>Because of uncertainty, the soil or rock property is not a fixed value</w:t>
      </w:r>
      <w:r w:rsidR="00922FE9">
        <w:t>,</w:t>
      </w:r>
      <w:r>
        <w:t xml:space="preserve"> but falls within a “bell-shaped” probability distribution of values.  </w:t>
      </w:r>
      <w:r w:rsidR="00424B5D">
        <w:t xml:space="preserve">Factor of safety approaches for geotechnical design incorrectly assume that the soil/rock properties </w:t>
      </w:r>
      <w:r w:rsidR="004F4C28">
        <w:t xml:space="preserve">and the minimum design factor of safety values </w:t>
      </w:r>
      <w:r w:rsidR="00424B5D">
        <w:t xml:space="preserve">have constant values </w:t>
      </w:r>
      <w:r w:rsidR="00437750">
        <w:t>and</w:t>
      </w:r>
      <w:r w:rsidR="00424B5D">
        <w:t xml:space="preserve"> do not consider the </w:t>
      </w:r>
      <w:r w:rsidR="004F4C28">
        <w:t xml:space="preserve">natural or spatial variability of those properties throughout the site, how well the engineer measures or knows what those values are, or the owner’s financial risk.  </w:t>
      </w:r>
      <w:r w:rsidR="00480698">
        <w:t>Mathematicians have made this concept much more difficult than it is</w:t>
      </w:r>
      <w:r w:rsidR="00564D61">
        <w:t>,</w:t>
      </w:r>
      <w:r w:rsidR="002E5D2C">
        <w:t xml:space="preserve"> regrettably causing engineers to shy away from probability </w:t>
      </w:r>
      <w:r w:rsidR="00922FE9">
        <w:t>analyses</w:t>
      </w:r>
      <w:r w:rsidR="002E5D2C">
        <w:t xml:space="preserve"> for </w:t>
      </w:r>
      <w:r w:rsidR="00922FE9">
        <w:t>design</w:t>
      </w:r>
      <w:r w:rsidR="00480698">
        <w:t xml:space="preserve">.  </w:t>
      </w:r>
      <w:r w:rsidR="003B126C">
        <w:t xml:space="preserve">Failmezger (2018) discusses further in his technical paper, </w:t>
      </w:r>
      <w:r w:rsidR="003B126C" w:rsidRPr="003B126C">
        <w:rPr>
          <w:color w:val="0000FF"/>
        </w:rPr>
        <w:t>Quantifying Geotechnical Probability of Failure—a Simpler Approach</w:t>
      </w:r>
      <w:r w:rsidR="003B126C">
        <w:t xml:space="preserve">.  </w:t>
      </w:r>
      <w:r w:rsidR="00480698">
        <w:t xml:space="preserve">Engineers only need to know that </w:t>
      </w:r>
      <w:r w:rsidR="00480698" w:rsidRPr="00480698">
        <w:rPr>
          <w:b/>
          <w:bCs/>
        </w:rPr>
        <w:t xml:space="preserve">the area under </w:t>
      </w:r>
      <w:r w:rsidR="00564D61">
        <w:rPr>
          <w:b/>
          <w:bCs/>
        </w:rPr>
        <w:t>a</w:t>
      </w:r>
      <w:r w:rsidR="00480698" w:rsidRPr="00480698">
        <w:rPr>
          <w:b/>
          <w:bCs/>
        </w:rPr>
        <w:t xml:space="preserve"> probability distribution curve must always equal 1.0</w:t>
      </w:r>
      <w:r w:rsidR="00480698">
        <w:t>.  Why?  There is 100% certainty that the value lies within th</w:t>
      </w:r>
      <w:r w:rsidR="00C85A0E">
        <w:t xml:space="preserve">is </w:t>
      </w:r>
      <w:r w:rsidR="002E5D2C">
        <w:t xml:space="preserve">range, making its </w:t>
      </w:r>
      <w:r w:rsidR="00C85A0E">
        <w:t xml:space="preserve">area </w:t>
      </w:r>
      <w:r w:rsidR="002E5D2C">
        <w:t xml:space="preserve">equal to </w:t>
      </w:r>
      <w:r w:rsidR="00C85A0E">
        <w:t xml:space="preserve">100% </w:t>
      </w:r>
      <w:r w:rsidR="002E5D2C">
        <w:t>or</w:t>
      </w:r>
      <w:r w:rsidR="00C85A0E">
        <w:t xml:space="preserve"> 1.0.  The engineer can determine</w:t>
      </w:r>
      <w:r w:rsidR="00BE072D">
        <w:t xml:space="preserve"> </w:t>
      </w:r>
      <w:r w:rsidR="00C85A0E">
        <w:t xml:space="preserve">the likelihood or probability </w:t>
      </w:r>
      <w:r w:rsidR="00BE072D">
        <w:t>that its</w:t>
      </w:r>
      <w:r w:rsidR="00C85A0E">
        <w:t xml:space="preserve"> value will exceed “x” by simply summing the area under the curve to the right of “x” or determine </w:t>
      </w:r>
      <w:r w:rsidR="00BE072D">
        <w:t>the probability that its</w:t>
      </w:r>
      <w:r w:rsidR="00C85A0E">
        <w:t xml:space="preserve"> value will be less than “x” by simply summing the area under the curve to the left of “x”.</w:t>
      </w:r>
    </w:p>
    <w:p w14:paraId="7F8BC56B" w14:textId="183F618D" w:rsidR="007F3D33" w:rsidRDefault="00BE072D">
      <w:r>
        <w:t xml:space="preserve">Because of readily available tables of solutions, many researchers have suggested using either </w:t>
      </w:r>
      <w:r w:rsidR="008A5E82">
        <w:t xml:space="preserve">a </w:t>
      </w:r>
      <w:r>
        <w:t xml:space="preserve">“normal” or “log-normal” probability distribution.  </w:t>
      </w:r>
      <w:r w:rsidR="00272EF4">
        <w:t>Unfortunately, the “normal” distribution has end limits that range from negative infinity (-</w:t>
      </w:r>
      <w:r w:rsidR="00272EF4">
        <w:rPr>
          <w:rFonts w:cstheme="minorHAnsi"/>
        </w:rPr>
        <w:t>∞</w:t>
      </w:r>
      <w:r w:rsidR="00272EF4">
        <w:t>) to positive infinity (+</w:t>
      </w:r>
      <w:r w:rsidR="00272EF4">
        <w:rPr>
          <w:rFonts w:cstheme="minorHAnsi"/>
        </w:rPr>
        <w:t>∞</w:t>
      </w:r>
      <w:r w:rsidR="00272EF4">
        <w:t>) and the “log-normal” distribution has end limits from just more than zero to positive infinity (+</w:t>
      </w:r>
      <w:r w:rsidR="00272EF4">
        <w:rPr>
          <w:rFonts w:cstheme="minorHAnsi"/>
        </w:rPr>
        <w:t>∞</w:t>
      </w:r>
      <w:r w:rsidR="00272EF4">
        <w:t>).  Both distributions have non-representative end limits</w:t>
      </w:r>
      <w:r w:rsidR="00E51D11">
        <w:t xml:space="preserve"> for engineering design</w:t>
      </w:r>
      <w:r w:rsidR="00272EF4">
        <w:t xml:space="preserve">.  </w:t>
      </w:r>
      <w:r w:rsidR="00E51D11">
        <w:t>Fortunately, t</w:t>
      </w:r>
      <w:r w:rsidR="00272EF4">
        <w:t>he “beta” probability distribution has end limits that the engineer</w:t>
      </w:r>
      <w:r w:rsidR="00A54109">
        <w:t xml:space="preserve"> chooses and best represents</w:t>
      </w:r>
      <w:r w:rsidR="00922FE9">
        <w:t xml:space="preserve"> geotechnical</w:t>
      </w:r>
      <w:r w:rsidR="00A54109">
        <w:t xml:space="preserve"> engineering design (at least in our opinion)</w:t>
      </w:r>
      <w:r w:rsidR="00922FE9">
        <w:t xml:space="preserve"> as documented by Failmezger, Bullock and Handy (2004) – </w:t>
      </w:r>
      <w:r w:rsidR="00922FE9" w:rsidRPr="00922FE9">
        <w:rPr>
          <w:color w:val="0000FF"/>
        </w:rPr>
        <w:t>Site, variability and beta</w:t>
      </w:r>
      <w:r w:rsidR="00A54109">
        <w:t xml:space="preserve">.  </w:t>
      </w:r>
      <w:r w:rsidR="00564D61">
        <w:t>To compute the beta probability distribution function, the engineer must input the minimum end limit value, the maximum limit value, the average value and the standard deviation.</w:t>
      </w:r>
      <w:r w:rsidR="007F3D33">
        <w:t xml:space="preserve">  The beta probability distribution function uses the following equation:</w:t>
      </w:r>
    </w:p>
    <w:p w14:paraId="128B4EF6" w14:textId="22636C7E" w:rsidR="007F3D33" w:rsidRDefault="007F02BA">
      <m:oMathPara>
        <m:oMath>
          <m:r>
            <w:rPr>
              <w:rFonts w:ascii="Cambria Math" w:hAnsi="Cambria Math"/>
            </w:rPr>
            <w:lastRenderedPageBreak/>
            <m:t>f</m:t>
          </m:r>
          <m:d>
            <m:dPr>
              <m:ctrlPr>
                <w:rPr>
                  <w:rFonts w:ascii="Cambria Math" w:hAnsi="Cambria Math"/>
                  <w:i/>
                </w:rPr>
              </m:ctrlPr>
            </m:dPr>
            <m:e>
              <m:r>
                <w:rPr>
                  <w:rFonts w:ascii="Cambria Math" w:hAnsi="Cambria Math"/>
                </w:rPr>
                <m:t>x</m:t>
              </m:r>
            </m:e>
          </m:d>
          <m:r>
            <w:rPr>
              <w:rFonts w:ascii="Cambria Math" w:hAnsi="Cambria Math"/>
            </w:rPr>
            <m:t xml:space="preserve">= </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b-a</m:t>
                  </m:r>
                </m:e>
              </m:d>
              <m:r>
                <w:rPr>
                  <w:rFonts w:ascii="Cambria Math" w:hAnsi="Cambria Math"/>
                </w:rPr>
                <m:t>B(α+1,β+1)</m:t>
              </m:r>
            </m:den>
          </m:f>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x-a</m:t>
                      </m:r>
                    </m:num>
                    <m:den>
                      <m:r>
                        <w:rPr>
                          <w:rFonts w:ascii="Cambria Math" w:hAnsi="Cambria Math"/>
                        </w:rPr>
                        <m:t>b-a</m:t>
                      </m:r>
                    </m:den>
                  </m:f>
                </m:e>
              </m:d>
            </m:e>
            <m:sup>
              <m:r>
                <w:rPr>
                  <w:rFonts w:ascii="Cambria Math" w:hAnsi="Cambria Math"/>
                </w:rPr>
                <m:t>α</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b-x</m:t>
                      </m:r>
                    </m:num>
                    <m:den>
                      <m:r>
                        <w:rPr>
                          <w:rFonts w:ascii="Cambria Math" w:hAnsi="Cambria Math"/>
                        </w:rPr>
                        <m:t>b-a</m:t>
                      </m:r>
                    </m:den>
                  </m:f>
                </m:e>
              </m:d>
            </m:e>
            <m:sup>
              <m:r>
                <w:rPr>
                  <w:rFonts w:ascii="Cambria Math" w:hAnsi="Cambria Math"/>
                </w:rPr>
                <m:t>β</m:t>
              </m:r>
            </m:sup>
          </m:sSup>
        </m:oMath>
      </m:oMathPara>
    </w:p>
    <w:p w14:paraId="7461BD29" w14:textId="5EA9A735" w:rsidR="007F3D33" w:rsidRDefault="00822DB0">
      <w:r>
        <w:tab/>
        <w:t>Where a = minimum end limit</w:t>
      </w:r>
    </w:p>
    <w:p w14:paraId="2D80780B" w14:textId="5A759CD3" w:rsidR="00822DB0" w:rsidRDefault="00822DB0">
      <w:r>
        <w:tab/>
      </w:r>
      <w:r>
        <w:tab/>
        <w:t>b = maximum end limit</w:t>
      </w:r>
    </w:p>
    <w:p w14:paraId="12DF36B9" w14:textId="2FD2A3F3" w:rsidR="00822DB0" w:rsidRPr="00793187" w:rsidRDefault="00822DB0">
      <w:pPr>
        <w:rPr>
          <w:rFonts w:eastAsiaTheme="minorEastAsia"/>
        </w:rPr>
      </w:pPr>
      <w:r>
        <w:tab/>
      </w:r>
      <w:r>
        <w:tab/>
      </w:r>
      <m:oMath>
        <m:r>
          <w:rPr>
            <w:rFonts w:ascii="Cambria Math" w:hAnsi="Cambria Math"/>
          </w:rPr>
          <m:t xml:space="preserve">α= </m:t>
        </m:r>
        <m:f>
          <m:fPr>
            <m:ctrlPr>
              <w:rPr>
                <w:rFonts w:ascii="Cambria Math" w:hAnsi="Cambria Math"/>
                <w:i/>
              </w:rPr>
            </m:ctrlPr>
          </m:fPr>
          <m:num>
            <m:sSup>
              <m:sSupPr>
                <m:ctrlPr>
                  <w:rPr>
                    <w:rFonts w:ascii="Cambria Math" w:hAnsi="Cambria Math"/>
                    <w:i/>
                  </w:rPr>
                </m:ctrlPr>
              </m:sSupPr>
              <m:e>
                <m:r>
                  <m:rPr>
                    <m:sty m:val="p"/>
                  </m:rPr>
                  <w:rPr>
                    <w:rFonts w:ascii="Cambria Math" w:hAnsi="Cambria Math"/>
                  </w:rPr>
                  <m:t>Ψ</m:t>
                </m:r>
              </m:e>
              <m:sup>
                <m:r>
                  <w:rPr>
                    <w:rFonts w:ascii="Cambria Math" w:hAnsi="Cambria Math"/>
                  </w:rPr>
                  <m:t xml:space="preserve">2 </m:t>
                </m:r>
              </m:sup>
            </m:sSup>
          </m:num>
          <m:den>
            <m:r>
              <m:rPr>
                <m:sty m:val="p"/>
              </m:rPr>
              <w:rPr>
                <w:rFonts w:ascii="Cambria Math" w:hAnsi="Cambria Math"/>
              </w:rPr>
              <m:t>Υ</m:t>
            </m:r>
          </m:den>
        </m:f>
        <m:r>
          <w:rPr>
            <w:rFonts w:ascii="Cambria Math" w:hAnsi="Cambria Math"/>
          </w:rPr>
          <m:t xml:space="preserve"> </m:t>
        </m:r>
        <m:d>
          <m:dPr>
            <m:ctrlPr>
              <w:rPr>
                <w:rFonts w:ascii="Cambria Math" w:hAnsi="Cambria Math"/>
                <w:i/>
              </w:rPr>
            </m:ctrlPr>
          </m:dPr>
          <m:e>
            <m:r>
              <w:rPr>
                <w:rFonts w:ascii="Cambria Math" w:hAnsi="Cambria Math"/>
              </w:rPr>
              <m:t>1-</m:t>
            </m:r>
            <m:r>
              <m:rPr>
                <m:sty m:val="p"/>
              </m:rPr>
              <w:rPr>
                <w:rFonts w:ascii="Cambria Math" w:hAnsi="Cambria Math"/>
              </w:rPr>
              <m:t>Ψ</m:t>
            </m:r>
          </m:e>
        </m:d>
        <m:r>
          <w:rPr>
            <w:rFonts w:ascii="Cambria Math" w:hAnsi="Cambria Math"/>
          </w:rPr>
          <m:t>-</m:t>
        </m:r>
        <m:d>
          <m:dPr>
            <m:ctrlPr>
              <w:rPr>
                <w:rFonts w:ascii="Cambria Math" w:hAnsi="Cambria Math"/>
                <w:i/>
              </w:rPr>
            </m:ctrlPr>
          </m:dPr>
          <m:e>
            <m:r>
              <w:rPr>
                <w:rFonts w:ascii="Cambria Math" w:hAnsi="Cambria Math"/>
              </w:rPr>
              <m:t>1+</m:t>
            </m:r>
            <m:r>
              <m:rPr>
                <m:sty m:val="p"/>
              </m:rPr>
              <w:rPr>
                <w:rFonts w:ascii="Cambria Math" w:hAnsi="Cambria Math"/>
              </w:rPr>
              <m:t>Ψ</m:t>
            </m:r>
          </m:e>
        </m:d>
      </m:oMath>
    </w:p>
    <w:p w14:paraId="3EE8653D" w14:textId="67E58B56" w:rsidR="00793187" w:rsidRPr="00793187" w:rsidRDefault="00793187">
      <w:pPr>
        <w:rPr>
          <w:rFonts w:eastAsiaTheme="minorEastAsia"/>
        </w:rPr>
      </w:pPr>
      <w:r>
        <w:rPr>
          <w:rFonts w:eastAsiaTheme="minorEastAsia"/>
        </w:rPr>
        <w:tab/>
      </w:r>
      <w:r>
        <w:rPr>
          <w:rFonts w:eastAsiaTheme="minorEastAsia"/>
        </w:rPr>
        <w:tab/>
      </w:r>
      <m:oMath>
        <m:r>
          <w:rPr>
            <w:rFonts w:ascii="Cambria Math" w:eastAsiaTheme="minorEastAsia" w:hAnsi="Cambria Math"/>
          </w:rPr>
          <m:t xml:space="preserve">β= </m:t>
        </m:r>
        <m:f>
          <m:fPr>
            <m:ctrlPr>
              <w:rPr>
                <w:rFonts w:ascii="Cambria Math" w:eastAsiaTheme="minorEastAsia" w:hAnsi="Cambria Math"/>
                <w:i/>
              </w:rPr>
            </m:ctrlPr>
          </m:fPr>
          <m:num>
            <m:r>
              <w:rPr>
                <w:rFonts w:ascii="Cambria Math" w:eastAsiaTheme="minorEastAsia" w:hAnsi="Cambria Math"/>
              </w:rPr>
              <m:t>α+1</m:t>
            </m:r>
          </m:num>
          <m:den>
            <m:r>
              <m:rPr>
                <m:sty m:val="p"/>
              </m:rPr>
              <w:rPr>
                <w:rFonts w:ascii="Cambria Math" w:eastAsiaTheme="minorEastAsia" w:hAnsi="Cambria Math"/>
              </w:rPr>
              <m:t>Ψ</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α+2</m:t>
            </m:r>
          </m:e>
        </m:d>
      </m:oMath>
    </w:p>
    <w:p w14:paraId="53942985" w14:textId="418A5E58" w:rsidR="00793187" w:rsidRDefault="00793187">
      <w:pPr>
        <w:rPr>
          <w:rFonts w:eastAsiaTheme="minorEastAsia"/>
        </w:rPr>
      </w:pPr>
      <w:r>
        <w:rPr>
          <w:rFonts w:eastAsiaTheme="minorEastAsia"/>
        </w:rPr>
        <w:tab/>
      </w:r>
      <w:r>
        <w:rPr>
          <w:rFonts w:eastAsiaTheme="minorEastAsia"/>
        </w:rPr>
        <w:tab/>
      </w:r>
      <m:oMath>
        <m:r>
          <m:rPr>
            <m:sty m:val="p"/>
          </m:rPr>
          <w:rPr>
            <w:rFonts w:ascii="Cambria Math" w:eastAsiaTheme="minorEastAsia" w:hAnsi="Cambria Math"/>
          </w:rPr>
          <m:t>Ψ</m:t>
        </m:r>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average</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-a</m:t>
            </m:r>
          </m:num>
          <m:den>
            <m:r>
              <w:rPr>
                <w:rFonts w:ascii="Cambria Math" w:eastAsiaTheme="minorEastAsia" w:hAnsi="Cambria Math"/>
              </w:rPr>
              <m:t>b-a</m:t>
            </m:r>
          </m:den>
        </m:f>
      </m:oMath>
    </w:p>
    <w:p w14:paraId="456E6590" w14:textId="272E07E9" w:rsidR="005D2956" w:rsidRDefault="005D2956">
      <w:pPr>
        <w:rPr>
          <w:rFonts w:eastAsiaTheme="minorEastAsia"/>
        </w:rPr>
      </w:pPr>
      <w:r>
        <w:rPr>
          <w:rFonts w:eastAsiaTheme="minorEastAsia"/>
        </w:rPr>
        <w:tab/>
      </w:r>
      <w:r>
        <w:rPr>
          <w:rFonts w:eastAsiaTheme="minorEastAsia"/>
        </w:rPr>
        <w:tab/>
      </w:r>
      <m:oMath>
        <m:r>
          <m:rPr>
            <m:sty m:val="p"/>
          </m:rPr>
          <w:rPr>
            <w:rFonts w:ascii="Cambria Math" w:eastAsiaTheme="minorEastAsia" w:hAnsi="Cambria Math"/>
          </w:rPr>
          <m:t>Υ</m:t>
        </m:r>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Stand Dev (x)</m:t>
                    </m:r>
                  </m:num>
                  <m:den>
                    <m:r>
                      <w:rPr>
                        <w:rFonts w:ascii="Cambria Math" w:eastAsiaTheme="minorEastAsia" w:hAnsi="Cambria Math"/>
                      </w:rPr>
                      <m:t>b-a</m:t>
                    </m:r>
                  </m:den>
                </m:f>
              </m:e>
            </m:d>
          </m:e>
          <m:sup>
            <m:r>
              <w:rPr>
                <w:rFonts w:ascii="Cambria Math" w:eastAsiaTheme="minorEastAsia" w:hAnsi="Cambria Math"/>
              </w:rPr>
              <m:t>2</m:t>
            </m:r>
          </m:sup>
        </m:sSup>
      </m:oMath>
    </w:p>
    <w:p w14:paraId="06887E9E" w14:textId="21E61D9D" w:rsidR="005D2956" w:rsidRDefault="009775B4">
      <w:pPr>
        <w:rPr>
          <w:rFonts w:eastAsiaTheme="minorEastAsia"/>
        </w:rPr>
      </w:pPr>
      <w:r>
        <w:rPr>
          <w:rFonts w:eastAsiaTheme="minorEastAsia"/>
        </w:rPr>
        <w:tab/>
      </w:r>
      <w:r>
        <w:rPr>
          <w:rFonts w:eastAsiaTheme="minorEastAsia"/>
        </w:rPr>
        <w:tab/>
      </w:r>
      <m:oMath>
        <m:r>
          <w:rPr>
            <w:rFonts w:ascii="Cambria Math" w:hAnsi="Cambria Math"/>
          </w:rPr>
          <m:t>B</m:t>
        </m:r>
        <m:d>
          <m:dPr>
            <m:ctrlPr>
              <w:rPr>
                <w:rFonts w:ascii="Cambria Math" w:hAnsi="Cambria Math"/>
                <w:i/>
              </w:rPr>
            </m:ctrlPr>
          </m:dPr>
          <m:e>
            <m:r>
              <w:rPr>
                <w:rFonts w:ascii="Cambria Math" w:hAnsi="Cambria Math"/>
              </w:rPr>
              <m:t>α+1,β+1</m:t>
            </m:r>
          </m:e>
        </m:d>
        <m:r>
          <w:rPr>
            <w:rFonts w:ascii="Cambria Math" w:hAnsi="Cambria Math"/>
          </w:rPr>
          <m:t xml:space="preserve">= </m:t>
        </m:r>
        <m:f>
          <m:fPr>
            <m:ctrlPr>
              <w:rPr>
                <w:rFonts w:ascii="Cambria Math" w:hAnsi="Cambria Math"/>
                <w:i/>
              </w:rPr>
            </m:ctrlPr>
          </m:fPr>
          <m:num>
            <m:r>
              <m:rPr>
                <m:sty m:val="p"/>
              </m:rPr>
              <w:rPr>
                <w:rFonts w:ascii="Cambria Math" w:hAnsi="Cambria Math"/>
              </w:rPr>
              <m:t>Γ</m:t>
            </m:r>
            <m:d>
              <m:dPr>
                <m:ctrlPr>
                  <w:rPr>
                    <w:rFonts w:ascii="Cambria Math" w:hAnsi="Cambria Math"/>
                    <w:i/>
                  </w:rPr>
                </m:ctrlPr>
              </m:dPr>
              <m:e>
                <m:r>
                  <w:rPr>
                    <w:rFonts w:ascii="Cambria Math" w:hAnsi="Cambria Math"/>
                  </w:rPr>
                  <m:t>α+1</m:t>
                </m:r>
              </m:e>
            </m:d>
            <m:r>
              <w:rPr>
                <w:rFonts w:ascii="Cambria Math" w:hAnsi="Cambria Math"/>
              </w:rPr>
              <m:t xml:space="preserve"> </m:t>
            </m:r>
            <m:r>
              <m:rPr>
                <m:sty m:val="p"/>
              </m:rPr>
              <w:rPr>
                <w:rFonts w:ascii="Cambria Math" w:hAnsi="Cambria Math"/>
              </w:rPr>
              <m:t>Γ</m:t>
            </m:r>
            <m:r>
              <w:rPr>
                <w:rFonts w:ascii="Cambria Math" w:hAnsi="Cambria Math"/>
              </w:rPr>
              <m:t>(β+1)</m:t>
            </m:r>
          </m:num>
          <m:den>
            <m:r>
              <m:rPr>
                <m:sty m:val="p"/>
              </m:rPr>
              <w:rPr>
                <w:rFonts w:ascii="Cambria Math" w:hAnsi="Cambria Math"/>
              </w:rPr>
              <m:t>Γ</m:t>
            </m:r>
            <m:r>
              <w:rPr>
                <w:rFonts w:ascii="Cambria Math" w:hAnsi="Cambria Math"/>
              </w:rPr>
              <m:t>(α+β+2)</m:t>
            </m:r>
          </m:den>
        </m:f>
      </m:oMath>
    </w:p>
    <w:p w14:paraId="1691C00E" w14:textId="1915F73C" w:rsidR="009775B4" w:rsidRDefault="009775B4">
      <w:pPr>
        <w:rPr>
          <w:rFonts w:eastAsiaTheme="minorEastAsia" w:cstheme="minorHAnsi"/>
        </w:rPr>
      </w:pPr>
      <w:r>
        <w:rPr>
          <w:rFonts w:eastAsiaTheme="minorEastAsia"/>
        </w:rPr>
        <w:tab/>
      </w:r>
      <w:r>
        <w:rPr>
          <w:rFonts w:eastAsiaTheme="minorEastAsia"/>
        </w:rPr>
        <w:tab/>
      </w:r>
      <w:r w:rsidR="001C4957">
        <w:rPr>
          <w:rFonts w:eastAsiaTheme="minorEastAsia" w:cstheme="minorHAnsi"/>
        </w:rPr>
        <w:t>Γ = Gamma Function</w:t>
      </w:r>
      <w:r w:rsidR="00F57DD4">
        <w:rPr>
          <w:rFonts w:eastAsiaTheme="minorEastAsia" w:cstheme="minorHAnsi"/>
        </w:rPr>
        <w:t xml:space="preserve"> =&gt; Γ(N) = (N-1)! [Factorial])</w:t>
      </w:r>
    </w:p>
    <w:p w14:paraId="7ABA7C9B" w14:textId="1740410E" w:rsidR="00F57DD4" w:rsidRPr="00793187" w:rsidRDefault="00F57DD4">
      <w:pPr>
        <w:rPr>
          <w:rFonts w:eastAsiaTheme="minorEastAsia"/>
        </w:rPr>
      </w:pPr>
      <w:r>
        <w:rPr>
          <w:rFonts w:eastAsiaTheme="minorEastAsia" w:cstheme="minorHAnsi"/>
        </w:rPr>
        <w:t xml:space="preserve">Note Excel factorial function only computes </w:t>
      </w:r>
      <w:r w:rsidR="00AF0214">
        <w:rPr>
          <w:rFonts w:eastAsiaTheme="minorEastAsia" w:cstheme="minorHAnsi"/>
        </w:rPr>
        <w:t>whole numbers, while older HP calculators computed the factorial correctly for non-integers.</w:t>
      </w:r>
    </w:p>
    <w:p w14:paraId="6C5547C0" w14:textId="02E4B6F3" w:rsidR="007F3D33" w:rsidRDefault="00012B63">
      <w:r>
        <w:rPr>
          <w:noProof/>
        </w:rPr>
        <mc:AlternateContent>
          <mc:Choice Requires="wps">
            <w:drawing>
              <wp:anchor distT="45720" distB="45720" distL="114300" distR="114300" simplePos="0" relativeHeight="251659264" behindDoc="0" locked="0" layoutInCell="1" allowOverlap="1" wp14:anchorId="577B9099" wp14:editId="0EF72F04">
                <wp:simplePos x="0" y="0"/>
                <wp:positionH relativeFrom="margin">
                  <wp:posOffset>-48895</wp:posOffset>
                </wp:positionH>
                <wp:positionV relativeFrom="paragraph">
                  <wp:posOffset>1123950</wp:posOffset>
                </wp:positionV>
                <wp:extent cx="3023235" cy="2901315"/>
                <wp:effectExtent l="0" t="0" r="24765" b="133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2901315"/>
                        </a:xfrm>
                        <a:prstGeom prst="rect">
                          <a:avLst/>
                        </a:prstGeom>
                        <a:solidFill>
                          <a:srgbClr val="FFFFFF"/>
                        </a:solidFill>
                        <a:ln w="9525">
                          <a:solidFill>
                            <a:srgbClr val="000000"/>
                          </a:solidFill>
                          <a:miter lim="800000"/>
                          <a:headEnd/>
                          <a:tailEnd/>
                        </a:ln>
                      </wps:spPr>
                      <wps:txbx>
                        <w:txbxContent>
                          <w:p w14:paraId="66EB646C" w14:textId="77777777" w:rsidR="0093440C" w:rsidRDefault="0093440C" w:rsidP="0093440C">
                            <w:r>
                              <w:rPr>
                                <w:rFonts w:ascii="Calibri" w:hAnsi="Calibri"/>
                                <w:lang w:eastAsia="ko-KR"/>
                              </w:rPr>
                              <w:object w:dxaOrig="4378" w:dyaOrig="3610" w14:anchorId="066189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8.9pt;height:180.5pt">
                                  <v:imagedata r:id="rId5" o:title=""/>
                                </v:shape>
                                <o:OLEObject Type="Embed" ProgID="Grapher.Document" ShapeID="_x0000_i1026" DrawAspect="Content" ObjectID="_1705463875" r:id="rId6"/>
                              </w:object>
                            </w:r>
                          </w:p>
                          <w:p w14:paraId="6F787460" w14:textId="77777777" w:rsidR="0093440C" w:rsidRDefault="0093440C" w:rsidP="0093440C">
                            <w:pPr>
                              <w:spacing w:after="0" w:line="240" w:lineRule="auto"/>
                              <w:rPr>
                                <w:rFonts w:ascii="Times" w:hAnsi="Times"/>
                                <w:sz w:val="20"/>
                                <w:szCs w:val="20"/>
                              </w:rPr>
                            </w:pPr>
                            <w:r w:rsidRPr="004E667F">
                              <w:rPr>
                                <w:rFonts w:ascii="Times" w:hAnsi="Times"/>
                                <w:sz w:val="20"/>
                                <w:szCs w:val="20"/>
                              </w:rPr>
                              <w:t>Figure 1: Beta Probability Distribution Functions for</w:t>
                            </w:r>
                          </w:p>
                          <w:p w14:paraId="7B156B5A" w14:textId="77777777" w:rsidR="0093440C" w:rsidRPr="004E667F" w:rsidRDefault="0093440C" w:rsidP="0093440C">
                            <w:pPr>
                              <w:spacing w:after="0" w:line="240" w:lineRule="auto"/>
                              <w:rPr>
                                <w:rFonts w:ascii="Times" w:hAnsi="Times"/>
                                <w:sz w:val="20"/>
                                <w:szCs w:val="20"/>
                              </w:rPr>
                            </w:pPr>
                            <w:r w:rsidRPr="004E667F">
                              <w:rPr>
                                <w:rFonts w:ascii="Times" w:hAnsi="Times"/>
                                <w:sz w:val="20"/>
                                <w:szCs w:val="20"/>
                              </w:rPr>
                              <w:t xml:space="preserve"> Probability of Success = 95%</w:t>
                            </w:r>
                          </w:p>
                          <w:p w14:paraId="7FC44BDC" w14:textId="77777777" w:rsidR="0093440C" w:rsidRDefault="0093440C" w:rsidP="0093440C"/>
                          <w:p w14:paraId="289F33FB" w14:textId="77777777" w:rsidR="0093440C" w:rsidRDefault="0093440C" w:rsidP="0093440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7B9099" id="_x0000_t202" coordsize="21600,21600" o:spt="202" path="m,l,21600r21600,l21600,xe">
                <v:stroke joinstyle="miter"/>
                <v:path gradientshapeok="t" o:connecttype="rect"/>
              </v:shapetype>
              <v:shape id="Text Box 2" o:spid="_x0000_s1026" type="#_x0000_t202" style="position:absolute;margin-left:-3.85pt;margin-top:88.5pt;width:238.05pt;height:228.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">
                <v:textbox>
                  <w:txbxContent>
                    <w:p w14:paraId="66EB646C" w14:textId="77777777" w:rsidR="0093440C" w:rsidRDefault="0093440C" w:rsidP="0093440C">
                      <w:r>
                        <w:rPr>
                          <w:rFonts w:ascii="Calibri" w:hAnsi="Calibri"/>
                          <w:lang w:eastAsia="ko-KR"/>
                        </w:rPr>
                        <w:object w:dxaOrig="4378" w:dyaOrig="3610" w14:anchorId="066189AD">
                          <v:shape id="_x0000_i1028" type="#_x0000_t75" style="width:218.9pt;height:180.5pt">
                            <v:imagedata r:id="rId7" o:title=""/>
                          </v:shape>
                          <o:OLEObject Type="Embed" ProgID="Grapher.Document" ShapeID="_x0000_i1028" DrawAspect="Content" ObjectID="_1705372639" r:id="rId8"/>
                        </w:object>
                      </w:r>
                    </w:p>
                    <w:p w14:paraId="6F787460" w14:textId="77777777" w:rsidR="0093440C" w:rsidRDefault="0093440C" w:rsidP="0093440C">
                      <w:pPr>
                        <w:spacing w:after="0" w:line="240" w:lineRule="auto"/>
                        <w:rPr>
                          <w:rFonts w:ascii="Times" w:hAnsi="Times"/>
                          <w:sz w:val="20"/>
                          <w:szCs w:val="20"/>
                        </w:rPr>
                      </w:pPr>
                      <w:r w:rsidRPr="004E667F">
                        <w:rPr>
                          <w:rFonts w:ascii="Times" w:hAnsi="Times"/>
                          <w:sz w:val="20"/>
                          <w:szCs w:val="20"/>
                        </w:rPr>
                        <w:t>Figure 1: Beta Probability Distribution Functions for</w:t>
                      </w:r>
                    </w:p>
                    <w:p w14:paraId="7B156B5A" w14:textId="77777777" w:rsidR="0093440C" w:rsidRPr="004E667F" w:rsidRDefault="0093440C" w:rsidP="0093440C">
                      <w:pPr>
                        <w:spacing w:after="0" w:line="240" w:lineRule="auto"/>
                        <w:rPr>
                          <w:rFonts w:ascii="Times" w:hAnsi="Times"/>
                          <w:sz w:val="20"/>
                          <w:szCs w:val="20"/>
                        </w:rPr>
                      </w:pPr>
                      <w:r w:rsidRPr="004E667F">
                        <w:rPr>
                          <w:rFonts w:ascii="Times" w:hAnsi="Times"/>
                          <w:sz w:val="20"/>
                          <w:szCs w:val="20"/>
                        </w:rPr>
                        <w:t xml:space="preserve"> Probability of Success = 95%</w:t>
                      </w:r>
                    </w:p>
                    <w:p w14:paraId="7FC44BDC" w14:textId="77777777" w:rsidR="0093440C" w:rsidRDefault="0093440C" w:rsidP="0093440C"/>
                    <w:p w14:paraId="289F33FB" w14:textId="77777777" w:rsidR="0093440C" w:rsidRDefault="0093440C" w:rsidP="0093440C"/>
                  </w:txbxContent>
                </v:textbox>
                <w10:wrap type="square" anchorx="margin"/>
              </v:shape>
            </w:pict>
          </mc:Fallback>
        </mc:AlternateContent>
      </w:r>
      <w:r w:rsidR="007776BA" w:rsidRPr="00F017FD">
        <w:rPr>
          <w:b/>
          <w:noProof/>
        </w:rPr>
        <mc:AlternateContent>
          <mc:Choice Requires="wps">
            <w:drawing>
              <wp:anchor distT="45720" distB="45720" distL="114300" distR="114300" simplePos="0" relativeHeight="251661312" behindDoc="0" locked="0" layoutInCell="1" allowOverlap="1" wp14:anchorId="5703FDD9" wp14:editId="60EF43DE">
                <wp:simplePos x="0" y="0"/>
                <wp:positionH relativeFrom="margin">
                  <wp:align>right</wp:align>
                </wp:positionH>
                <wp:positionV relativeFrom="page">
                  <wp:posOffset>5742305</wp:posOffset>
                </wp:positionV>
                <wp:extent cx="2950210" cy="2915920"/>
                <wp:effectExtent l="0" t="0" r="21590"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2915920"/>
                        </a:xfrm>
                        <a:prstGeom prst="rect">
                          <a:avLst/>
                        </a:prstGeom>
                        <a:solidFill>
                          <a:srgbClr val="FFFFFF"/>
                        </a:solidFill>
                        <a:ln w="9525">
                          <a:solidFill>
                            <a:srgbClr val="000000"/>
                          </a:solidFill>
                          <a:miter lim="800000"/>
                          <a:headEnd/>
                          <a:tailEnd/>
                        </a:ln>
                      </wps:spPr>
                      <wps:txbx>
                        <w:txbxContent>
                          <w:p w14:paraId="39008365" w14:textId="060EC3F1" w:rsidR="003B47B3" w:rsidRDefault="006440F1" w:rsidP="003B47B3">
                            <w:r>
                              <w:rPr>
                                <w:rFonts w:ascii="Calibri" w:hAnsi="Calibri"/>
                              </w:rPr>
                              <w:object w:dxaOrig="4262" w:dyaOrig="3725" w14:anchorId="586F1835">
                                <v:shape id="_x0000_i1028" type="#_x0000_t75" style="width:213.1pt;height:186.25pt">
                                  <v:imagedata r:id="rId9" o:title=""/>
                                </v:shape>
                                <o:OLEObject Type="Embed" ProgID="Grapher.Document" ShapeID="_x0000_i1028" DrawAspect="Content" ObjectID="_1705463876" r:id="rId10"/>
                              </w:object>
                            </w:r>
                          </w:p>
                          <w:p w14:paraId="63BD80DF" w14:textId="02F273D0" w:rsidR="003B47B3" w:rsidRPr="00E75800" w:rsidRDefault="003B47B3" w:rsidP="003B47B3">
                            <w:pPr>
                              <w:spacing w:after="0" w:line="240" w:lineRule="auto"/>
                              <w:rPr>
                                <w:rFonts w:ascii="Times" w:hAnsi="Times"/>
                                <w:sz w:val="20"/>
                                <w:szCs w:val="20"/>
                              </w:rPr>
                            </w:pPr>
                            <w:r w:rsidRPr="00E75800">
                              <w:rPr>
                                <w:rFonts w:ascii="Times" w:hAnsi="Times"/>
                                <w:sz w:val="20"/>
                                <w:szCs w:val="20"/>
                              </w:rPr>
                              <w:t xml:space="preserve">Figure </w:t>
                            </w:r>
                            <w:r>
                              <w:rPr>
                                <w:rFonts w:ascii="Times" w:hAnsi="Times"/>
                                <w:sz w:val="20"/>
                                <w:szCs w:val="20"/>
                              </w:rPr>
                              <w:t>2</w:t>
                            </w:r>
                            <w:r w:rsidRPr="00E75800">
                              <w:rPr>
                                <w:rFonts w:ascii="Times" w:hAnsi="Times"/>
                                <w:sz w:val="20"/>
                                <w:szCs w:val="20"/>
                              </w:rPr>
                              <w:t>: Beta Distribution Curves with</w:t>
                            </w:r>
                          </w:p>
                          <w:p w14:paraId="7805DA47" w14:textId="77777777" w:rsidR="003B47B3" w:rsidRPr="00E75800" w:rsidRDefault="003B47B3" w:rsidP="003B47B3">
                            <w:pPr>
                              <w:spacing w:after="0" w:line="240" w:lineRule="auto"/>
                              <w:rPr>
                                <w:rFonts w:ascii="Times" w:hAnsi="Times"/>
                                <w:sz w:val="20"/>
                                <w:szCs w:val="20"/>
                              </w:rPr>
                            </w:pPr>
                            <w:r w:rsidRPr="00E75800">
                              <w:rPr>
                                <w:rFonts w:ascii="Times" w:hAnsi="Times"/>
                                <w:sz w:val="20"/>
                                <w:szCs w:val="20"/>
                              </w:rPr>
                              <w:t>Load Curve with Standard Deviation of 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3FDD9" id="_x0000_s1027" type="#_x0000_t202" style="position:absolute;margin-left:181.1pt;margin-top:452.15pt;width:232.3pt;height:229.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">
                <v:textbox>
                  <w:txbxContent>
                    <w:p w14:paraId="39008365" w14:textId="060EC3F1" w:rsidR="003B47B3" w:rsidRDefault="006440F1" w:rsidP="003B47B3">
                      <w:r>
                        <w:rPr>
                          <w:rFonts w:ascii="Calibri" w:hAnsi="Calibri"/>
                        </w:rPr>
                        <w:object w:dxaOrig="4262" w:dyaOrig="3725" w14:anchorId="586F1835">
                          <v:shape id="_x0000_i1026" type="#_x0000_t75" style="width:213.1pt;height:186.25pt">
                            <v:imagedata r:id="rId11" o:title=""/>
                          </v:shape>
                          <o:OLEObject Type="Embed" ProgID="Grapher.Document" ShapeID="_x0000_i1026" DrawAspect="Content" ObjectID="_1705372640" r:id="rId12"/>
                        </w:object>
                      </w:r>
                    </w:p>
                    <w:p w14:paraId="63BD80DF" w14:textId="02F273D0" w:rsidR="003B47B3" w:rsidRPr="00E75800" w:rsidRDefault="003B47B3" w:rsidP="003B47B3">
                      <w:pPr>
                        <w:spacing w:after="0" w:line="240" w:lineRule="auto"/>
                        <w:rPr>
                          <w:rFonts w:ascii="Times" w:hAnsi="Times"/>
                          <w:sz w:val="20"/>
                          <w:szCs w:val="20"/>
                        </w:rPr>
                      </w:pPr>
                      <w:r w:rsidRPr="00E75800">
                        <w:rPr>
                          <w:rFonts w:ascii="Times" w:hAnsi="Times"/>
                          <w:sz w:val="20"/>
                          <w:szCs w:val="20"/>
                        </w:rPr>
                        <w:t xml:space="preserve">Figure </w:t>
                      </w:r>
                      <w:r>
                        <w:rPr>
                          <w:rFonts w:ascii="Times" w:hAnsi="Times"/>
                          <w:sz w:val="20"/>
                          <w:szCs w:val="20"/>
                        </w:rPr>
                        <w:t>2</w:t>
                      </w:r>
                      <w:r w:rsidRPr="00E75800">
                        <w:rPr>
                          <w:rFonts w:ascii="Times" w:hAnsi="Times"/>
                          <w:sz w:val="20"/>
                          <w:szCs w:val="20"/>
                        </w:rPr>
                        <w:t>: Beta Distribution Curves with</w:t>
                      </w:r>
                    </w:p>
                    <w:p w14:paraId="7805DA47" w14:textId="77777777" w:rsidR="003B47B3" w:rsidRPr="00E75800" w:rsidRDefault="003B47B3" w:rsidP="003B47B3">
                      <w:pPr>
                        <w:spacing w:after="0" w:line="240" w:lineRule="auto"/>
                        <w:rPr>
                          <w:rFonts w:ascii="Times" w:hAnsi="Times"/>
                          <w:sz w:val="20"/>
                          <w:szCs w:val="20"/>
                        </w:rPr>
                      </w:pPr>
                      <w:r w:rsidRPr="00E75800">
                        <w:rPr>
                          <w:rFonts w:ascii="Times" w:hAnsi="Times"/>
                          <w:sz w:val="20"/>
                          <w:szCs w:val="20"/>
                        </w:rPr>
                        <w:t>Load Curve with Standard Deviation of 0.1</w:t>
                      </w:r>
                    </w:p>
                  </w:txbxContent>
                </v:textbox>
                <w10:wrap type="square" anchorx="margin" anchory="page"/>
              </v:shape>
            </w:pict>
          </mc:Fallback>
        </mc:AlternateContent>
      </w:r>
      <w:r w:rsidR="00B6501C">
        <w:t>The engineer can easily check the correctness of the equation by summing the area underneath it using a numerical method such as the trapezoidal method.</w:t>
      </w:r>
      <w:r w:rsidR="00564D61">
        <w:t xml:space="preserve">  </w:t>
      </w:r>
      <w:r w:rsidR="00A54109" w:rsidRPr="00674889">
        <w:rPr>
          <w:color w:val="0000FF"/>
        </w:rPr>
        <w:t xml:space="preserve">Excel spreadsheets </w:t>
      </w:r>
      <w:r w:rsidR="00E51D11" w:rsidRPr="00E51D11">
        <w:rPr>
          <w:color w:val="000000" w:themeColor="text1"/>
        </w:rPr>
        <w:t>for slope stability</w:t>
      </w:r>
      <w:r w:rsidR="003B47B3">
        <w:rPr>
          <w:color w:val="000000" w:themeColor="text1"/>
        </w:rPr>
        <w:t xml:space="preserve"> </w:t>
      </w:r>
      <w:r w:rsidR="003B47B3">
        <w:t>(Figure 1)</w:t>
      </w:r>
      <w:r w:rsidR="00E51D11" w:rsidRPr="00E51D11">
        <w:rPr>
          <w:color w:val="000000" w:themeColor="text1"/>
        </w:rPr>
        <w:t>, pile capacity</w:t>
      </w:r>
      <w:r w:rsidR="003B47B3">
        <w:rPr>
          <w:color w:val="000000" w:themeColor="text1"/>
        </w:rPr>
        <w:t xml:space="preserve"> (Figure 2)</w:t>
      </w:r>
      <w:r w:rsidR="00E51D11" w:rsidRPr="00E51D11">
        <w:rPr>
          <w:color w:val="000000" w:themeColor="text1"/>
        </w:rPr>
        <w:t xml:space="preserve">, settlement </w:t>
      </w:r>
      <w:r w:rsidR="003B47B3">
        <w:rPr>
          <w:color w:val="000000" w:themeColor="text1"/>
        </w:rPr>
        <w:t xml:space="preserve">(Figure 3) </w:t>
      </w:r>
      <w:r w:rsidR="00E51D11" w:rsidRPr="00E51D11">
        <w:rPr>
          <w:color w:val="000000" w:themeColor="text1"/>
        </w:rPr>
        <w:t xml:space="preserve">and </w:t>
      </w:r>
      <w:r w:rsidR="005530AA">
        <w:rPr>
          <w:color w:val="000000" w:themeColor="text1"/>
        </w:rPr>
        <w:t>angular distortion</w:t>
      </w:r>
      <w:r w:rsidR="00E51D11" w:rsidRPr="00E51D11">
        <w:rPr>
          <w:color w:val="000000" w:themeColor="text1"/>
        </w:rPr>
        <w:t xml:space="preserve"> </w:t>
      </w:r>
      <w:r w:rsidR="00A54109">
        <w:t>make probability computations relatively routine.</w:t>
      </w:r>
      <w:r w:rsidR="00564D61">
        <w:t xml:space="preserve">  </w:t>
      </w:r>
      <w:r w:rsidR="00B6501C">
        <w:t xml:space="preserve">These spreadsheets show the equation for the beta probability </w:t>
      </w:r>
      <w:r>
        <w:t>function</w:t>
      </w:r>
      <w:r w:rsidR="00B6501C">
        <w:t xml:space="preserve"> and include sum of the area check for correctness.</w:t>
      </w:r>
    </w:p>
    <w:p w14:paraId="29BC753C" w14:textId="29B0E8EE" w:rsidR="007F3D33" w:rsidRDefault="007F3D33">
      <w:r>
        <w:br w:type="page"/>
      </w:r>
    </w:p>
    <w:p w14:paraId="0FCC701E" w14:textId="21F6C933" w:rsidR="00BE072D" w:rsidRDefault="005B44EC">
      <w:r>
        <w:rPr>
          <w:noProof/>
        </w:rPr>
        <w:lastRenderedPageBreak/>
        <mc:AlternateContent>
          <mc:Choice Requires="wps">
            <w:drawing>
              <wp:anchor distT="45720" distB="45720" distL="114300" distR="114300" simplePos="0" relativeHeight="251663360" behindDoc="0" locked="0" layoutInCell="1" allowOverlap="1" wp14:anchorId="6A9090AD" wp14:editId="4D0B259E">
                <wp:simplePos x="0" y="0"/>
                <wp:positionH relativeFrom="margin">
                  <wp:align>right</wp:align>
                </wp:positionH>
                <wp:positionV relativeFrom="margin">
                  <wp:posOffset>6350</wp:posOffset>
                </wp:positionV>
                <wp:extent cx="3004185" cy="2863215"/>
                <wp:effectExtent l="0" t="0" r="24765" b="133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2863215"/>
                        </a:xfrm>
                        <a:prstGeom prst="rect">
                          <a:avLst/>
                        </a:prstGeom>
                        <a:solidFill>
                          <a:srgbClr val="FFFFFF"/>
                        </a:solidFill>
                        <a:ln w="9525">
                          <a:solidFill>
                            <a:srgbClr val="000000"/>
                          </a:solidFill>
                          <a:miter lim="800000"/>
                          <a:headEnd/>
                          <a:tailEnd/>
                        </a:ln>
                      </wps:spPr>
                      <wps:txbx>
                        <w:txbxContent>
                          <w:p w14:paraId="3E6350D3" w14:textId="60BF764E" w:rsidR="003B47B3" w:rsidRDefault="006440F1" w:rsidP="003B47B3">
                            <w:r>
                              <w:rPr>
                                <w:rFonts w:ascii="Calibri" w:hAnsi="Calibri"/>
                              </w:rPr>
                              <w:object w:dxaOrig="4474" w:dyaOrig="3648" w14:anchorId="7BDF3E3B">
                                <v:shape id="_x0000_i1030" type="#_x0000_t75" style="width:223.7pt;height:182.4pt">
                                  <v:imagedata r:id="rId13" o:title=""/>
                                </v:shape>
                                <o:OLEObject Type="Embed" ProgID="Grapher.Document" ShapeID="_x0000_i1030" DrawAspect="Content" ObjectID="_1705463877" r:id="rId14"/>
                              </w:object>
                            </w:r>
                          </w:p>
                          <w:p w14:paraId="03207E01" w14:textId="1AA35091" w:rsidR="003B47B3" w:rsidRPr="00B2595D" w:rsidRDefault="003B47B3" w:rsidP="003B47B3">
                            <w:pPr>
                              <w:spacing w:after="0" w:line="240" w:lineRule="auto"/>
                              <w:rPr>
                                <w:rFonts w:ascii="Times" w:hAnsi="Times"/>
                                <w:sz w:val="20"/>
                                <w:szCs w:val="20"/>
                              </w:rPr>
                            </w:pPr>
                            <w:r w:rsidRPr="00B2595D">
                              <w:rPr>
                                <w:rFonts w:ascii="Times" w:hAnsi="Times"/>
                                <w:sz w:val="20"/>
                                <w:szCs w:val="20"/>
                              </w:rPr>
                              <w:t xml:space="preserve">Figure </w:t>
                            </w:r>
                            <w:r>
                              <w:rPr>
                                <w:rFonts w:ascii="Times" w:hAnsi="Times"/>
                                <w:sz w:val="20"/>
                                <w:szCs w:val="20"/>
                              </w:rPr>
                              <w:t>3</w:t>
                            </w:r>
                            <w:r w:rsidRPr="00B2595D">
                              <w:rPr>
                                <w:rFonts w:ascii="Times" w:hAnsi="Times"/>
                                <w:sz w:val="20"/>
                                <w:szCs w:val="20"/>
                              </w:rPr>
                              <w:t>: Beta Probability Distribution Curves</w:t>
                            </w:r>
                            <w:r>
                              <w:rPr>
                                <w:rFonts w:ascii="Times" w:hAnsi="Times"/>
                                <w:sz w:val="20"/>
                                <w:szCs w:val="20"/>
                              </w:rPr>
                              <w:t xml:space="preserve"> f</w:t>
                            </w:r>
                            <w:r w:rsidRPr="00B2595D">
                              <w:rPr>
                                <w:rFonts w:ascii="Times" w:hAnsi="Times"/>
                                <w:sz w:val="20"/>
                                <w:szCs w:val="20"/>
                              </w:rPr>
                              <w:t>or Settlement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090AD" id="_x0000_s1028" type="#_x0000_t202" style="position:absolute;margin-left:185.35pt;margin-top:.5pt;width:236.55pt;height:225.4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">
                <v:textbox>
                  <w:txbxContent>
                    <w:p w14:paraId="3E6350D3" w14:textId="60BF764E" w:rsidR="003B47B3" w:rsidRDefault="006440F1" w:rsidP="003B47B3">
                      <w:r>
                        <w:rPr>
                          <w:rFonts w:ascii="Calibri" w:hAnsi="Calibri"/>
                        </w:rPr>
                        <w:object w:dxaOrig="4474" w:dyaOrig="3648" w14:anchorId="7BDF3E3B">
                          <v:shape id="_x0000_i1030" type="#_x0000_t75" style="width:223.7pt;height:182.4pt">
                            <v:imagedata r:id="rId15" o:title=""/>
                          </v:shape>
                          <o:OLEObject Type="Embed" ProgID="Grapher.Document" ShapeID="_x0000_i1030" DrawAspect="Content" ObjectID="_1705372641" r:id="rId16"/>
                        </w:object>
                      </w:r>
                    </w:p>
                    <w:p w14:paraId="03207E01" w14:textId="1AA35091" w:rsidR="003B47B3" w:rsidRPr="00B2595D" w:rsidRDefault="003B47B3" w:rsidP="003B47B3">
                      <w:pPr>
                        <w:spacing w:after="0" w:line="240" w:lineRule="auto"/>
                        <w:rPr>
                          <w:rFonts w:ascii="Times" w:hAnsi="Times"/>
                          <w:sz w:val="20"/>
                          <w:szCs w:val="20"/>
                        </w:rPr>
                      </w:pPr>
                      <w:r w:rsidRPr="00B2595D">
                        <w:rPr>
                          <w:rFonts w:ascii="Times" w:hAnsi="Times"/>
                          <w:sz w:val="20"/>
                          <w:szCs w:val="20"/>
                        </w:rPr>
                        <w:t xml:space="preserve">Figure </w:t>
                      </w:r>
                      <w:r>
                        <w:rPr>
                          <w:rFonts w:ascii="Times" w:hAnsi="Times"/>
                          <w:sz w:val="20"/>
                          <w:szCs w:val="20"/>
                        </w:rPr>
                        <w:t>3</w:t>
                      </w:r>
                      <w:r w:rsidRPr="00B2595D">
                        <w:rPr>
                          <w:rFonts w:ascii="Times" w:hAnsi="Times"/>
                          <w:sz w:val="20"/>
                          <w:szCs w:val="20"/>
                        </w:rPr>
                        <w:t>: Beta Probability Distribution Curves</w:t>
                      </w:r>
                      <w:r>
                        <w:rPr>
                          <w:rFonts w:ascii="Times" w:hAnsi="Times"/>
                          <w:sz w:val="20"/>
                          <w:szCs w:val="20"/>
                        </w:rPr>
                        <w:t xml:space="preserve"> f</w:t>
                      </w:r>
                      <w:r w:rsidRPr="00B2595D">
                        <w:rPr>
                          <w:rFonts w:ascii="Times" w:hAnsi="Times"/>
                          <w:sz w:val="20"/>
                          <w:szCs w:val="20"/>
                        </w:rPr>
                        <w:t>or Settlement</w:t>
                      </w:r>
                    </w:p>
                  </w:txbxContent>
                </v:textbox>
                <w10:wrap type="square" anchorx="margin" anchory="margin"/>
              </v:shape>
            </w:pict>
          </mc:Fallback>
        </mc:AlternateContent>
      </w:r>
      <w:r w:rsidR="00564D61">
        <w:t xml:space="preserve">Failmezger has developed </w:t>
      </w:r>
      <w:r w:rsidR="00564D61" w:rsidRPr="005D07DD">
        <w:rPr>
          <w:color w:val="0000FF"/>
        </w:rPr>
        <w:t>design charts</w:t>
      </w:r>
      <w:r w:rsidR="00564D61">
        <w:t xml:space="preserve"> graphing </w:t>
      </w:r>
      <w:r w:rsidR="005D07DD">
        <w:t>and summarizing the probability distribution solutions for the above geotechnical engineering designs</w:t>
      </w:r>
      <w:r w:rsidR="00922FE9">
        <w:t xml:space="preserve"> (Figure </w:t>
      </w:r>
      <w:r w:rsidR="003B47B3">
        <w:t>4</w:t>
      </w:r>
      <w:r w:rsidR="00173F31">
        <w:t>a-d</w:t>
      </w:r>
      <w:r w:rsidR="00922FE9">
        <w:t>)</w:t>
      </w:r>
      <w:r w:rsidR="005D07DD">
        <w:t>.</w:t>
      </w:r>
    </w:p>
    <w:p w14:paraId="0D8EF03B" w14:textId="126F985A" w:rsidR="007776BA" w:rsidRDefault="00EE493F">
      <w:r>
        <w:rPr>
          <w:noProof/>
        </w:rPr>
        <mc:AlternateContent>
          <mc:Choice Requires="wps">
            <w:drawing>
              <wp:anchor distT="0" distB="0" distL="0" distR="0" simplePos="0" relativeHeight="251665408" behindDoc="0" locked="0" layoutInCell="1" allowOverlap="1" wp14:anchorId="43EEE8B6" wp14:editId="5CF4399E">
                <wp:simplePos x="0" y="0"/>
                <wp:positionH relativeFrom="margin">
                  <wp:align>left</wp:align>
                </wp:positionH>
                <wp:positionV relativeFrom="paragraph">
                  <wp:posOffset>2222627</wp:posOffset>
                </wp:positionV>
                <wp:extent cx="2999105" cy="3157220"/>
                <wp:effectExtent l="0" t="0" r="1079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232" cy="3157728"/>
                        </a:xfrm>
                        <a:prstGeom prst="rect">
                          <a:avLst/>
                        </a:prstGeom>
                        <a:solidFill>
                          <a:srgbClr val="FFFFFF"/>
                        </a:solidFill>
                        <a:ln w="9525">
                          <a:solidFill>
                            <a:srgbClr val="000000"/>
                          </a:solidFill>
                          <a:miter lim="800000"/>
                          <a:headEnd/>
                          <a:tailEnd/>
                        </a:ln>
                      </wps:spPr>
                      <wps:txbx>
                        <w:txbxContent>
                          <w:p w14:paraId="28C99C21" w14:textId="1C4AE920" w:rsidR="00233525" w:rsidRPr="004E667F" w:rsidRDefault="00EE493F" w:rsidP="00233525">
                            <w:pPr>
                              <w:rPr>
                                <w:rFonts w:ascii="Times" w:hAnsi="Times"/>
                                <w:sz w:val="20"/>
                                <w:szCs w:val="20"/>
                              </w:rPr>
                            </w:pPr>
                            <w:r>
                              <w:rPr>
                                <w:rFonts w:ascii="Calibri" w:hAnsi="Calibri"/>
                              </w:rPr>
                              <w:object w:dxaOrig="4435" w:dyaOrig="4051" w14:anchorId="390C8E51">
                                <v:shape id="_x0000_i1032" type="#_x0000_t75" style="width:221.75pt;height:202.55pt">
                                  <v:imagedata r:id="rId17" o:title=""/>
                                </v:shape>
                                <o:OLEObject Type="Embed" ProgID="Grapher.Document" ShapeID="_x0000_i1032" DrawAspect="Content" ObjectID="_1705463878" r:id="rId18"/>
                              </w:object>
                            </w:r>
                            <w:r w:rsidR="00233525" w:rsidRPr="004E667F">
                              <w:rPr>
                                <w:rFonts w:ascii="Times" w:hAnsi="Times"/>
                                <w:sz w:val="20"/>
                                <w:szCs w:val="20"/>
                              </w:rPr>
                              <w:t xml:space="preserve">Figure </w:t>
                            </w:r>
                            <w:r w:rsidR="00173F31">
                              <w:rPr>
                                <w:rFonts w:ascii="Times" w:hAnsi="Times"/>
                                <w:sz w:val="20"/>
                                <w:szCs w:val="20"/>
                              </w:rPr>
                              <w:t>4a</w:t>
                            </w:r>
                            <w:r w:rsidR="00233525" w:rsidRPr="004E667F">
                              <w:rPr>
                                <w:rFonts w:ascii="Times" w:hAnsi="Times"/>
                                <w:sz w:val="20"/>
                                <w:szCs w:val="20"/>
                              </w:rPr>
                              <w:t xml:space="preserve">: Design Chart for Factor of Safety with </w:t>
                            </w:r>
                            <w:r w:rsidR="00233525">
                              <w:rPr>
                                <w:rFonts w:ascii="Times" w:hAnsi="Times"/>
                                <w:sz w:val="20"/>
                                <w:szCs w:val="20"/>
                              </w:rPr>
                              <w:t xml:space="preserve">end </w:t>
                            </w:r>
                            <w:r w:rsidR="00233525" w:rsidRPr="004E667F">
                              <w:rPr>
                                <w:rFonts w:ascii="Times" w:hAnsi="Times"/>
                                <w:sz w:val="20"/>
                                <w:szCs w:val="20"/>
                              </w:rPr>
                              <w:t xml:space="preserve">limits = average </w:t>
                            </w:r>
                            <w:r w:rsidR="00233525" w:rsidRPr="004E667F">
                              <w:rPr>
                                <w:rFonts w:ascii="Times" w:hAnsi="Times"/>
                                <w:sz w:val="20"/>
                                <w:szCs w:val="20"/>
                                <w:u w:val="single"/>
                              </w:rPr>
                              <w:t>+</w:t>
                            </w:r>
                            <w:r w:rsidR="00233525" w:rsidRPr="004E667F">
                              <w:rPr>
                                <w:rFonts w:ascii="Times" w:hAnsi="Times"/>
                                <w:sz w:val="20"/>
                                <w:szCs w:val="20"/>
                              </w:rPr>
                              <w:t xml:space="preserve"> 3 standard deviations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EE8B6" id="_x0000_s1029" type="#_x0000_t202" style="position:absolute;margin-left:0;margin-top:175pt;width:236.15pt;height:248.6pt;z-index:2516654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">
                <v:textbox>
                  <w:txbxContent>
                    <w:p w14:paraId="28C99C21" w14:textId="1C4AE920" w:rsidR="00233525" w:rsidRPr="004E667F" w:rsidRDefault="00EE493F" w:rsidP="00233525">
                      <w:pPr>
                        <w:rPr>
                          <w:rFonts w:ascii="Times" w:hAnsi="Times"/>
                          <w:sz w:val="20"/>
                          <w:szCs w:val="20"/>
                        </w:rPr>
                      </w:pPr>
                      <w:r>
                        <w:rPr>
                          <w:rFonts w:ascii="Calibri" w:hAnsi="Calibri"/>
                        </w:rPr>
                        <w:object w:dxaOrig="4435" w:dyaOrig="4051" w14:anchorId="390C8E51">
                          <v:shape id="_x0000_i1032" type="#_x0000_t75" style="width:221.75pt;height:202.55pt">
                            <v:imagedata r:id="rId19" o:title=""/>
                          </v:shape>
                          <o:OLEObject Type="Embed" ProgID="Grapher.Document" ShapeID="_x0000_i1032" DrawAspect="Content" ObjectID="_1705372642" r:id="rId20"/>
                        </w:object>
                      </w:r>
                      <w:r w:rsidR="00233525" w:rsidRPr="004E667F">
                        <w:rPr>
                          <w:rFonts w:ascii="Times" w:hAnsi="Times"/>
                          <w:sz w:val="20"/>
                          <w:szCs w:val="20"/>
                        </w:rPr>
                        <w:t xml:space="preserve">Figure </w:t>
                      </w:r>
                      <w:r w:rsidR="00173F31">
                        <w:rPr>
                          <w:rFonts w:ascii="Times" w:hAnsi="Times"/>
                          <w:sz w:val="20"/>
                          <w:szCs w:val="20"/>
                        </w:rPr>
                        <w:t>4a</w:t>
                      </w:r>
                      <w:r w:rsidR="00233525" w:rsidRPr="004E667F">
                        <w:rPr>
                          <w:rFonts w:ascii="Times" w:hAnsi="Times"/>
                          <w:sz w:val="20"/>
                          <w:szCs w:val="20"/>
                        </w:rPr>
                        <w:t xml:space="preserve">: Design Chart for Factor of Safety with </w:t>
                      </w:r>
                      <w:r w:rsidR="00233525">
                        <w:rPr>
                          <w:rFonts w:ascii="Times" w:hAnsi="Times"/>
                          <w:sz w:val="20"/>
                          <w:szCs w:val="20"/>
                        </w:rPr>
                        <w:t xml:space="preserve">end </w:t>
                      </w:r>
                      <w:r w:rsidR="00233525" w:rsidRPr="004E667F">
                        <w:rPr>
                          <w:rFonts w:ascii="Times" w:hAnsi="Times"/>
                          <w:sz w:val="20"/>
                          <w:szCs w:val="20"/>
                        </w:rPr>
                        <w:t xml:space="preserve">limits = average </w:t>
                      </w:r>
                      <w:r w:rsidR="00233525" w:rsidRPr="004E667F">
                        <w:rPr>
                          <w:rFonts w:ascii="Times" w:hAnsi="Times"/>
                          <w:sz w:val="20"/>
                          <w:szCs w:val="20"/>
                          <w:u w:val="single"/>
                        </w:rPr>
                        <w:t>+</w:t>
                      </w:r>
                      <w:r w:rsidR="00233525" w:rsidRPr="004E667F">
                        <w:rPr>
                          <w:rFonts w:ascii="Times" w:hAnsi="Times"/>
                          <w:sz w:val="20"/>
                          <w:szCs w:val="20"/>
                        </w:rPr>
                        <w:t xml:space="preserve"> 3 standard deviations</w:t>
                      </w:r>
                    </w:p>
                  </w:txbxContent>
                </v:textbox>
                <w10:wrap type="square"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20C3C806" wp14:editId="20359B40">
                <wp:simplePos x="0" y="0"/>
                <wp:positionH relativeFrom="margin">
                  <wp:align>right</wp:align>
                </wp:positionH>
                <wp:positionV relativeFrom="margin">
                  <wp:posOffset>3035808</wp:posOffset>
                </wp:positionV>
                <wp:extent cx="2919095" cy="3210560"/>
                <wp:effectExtent l="0" t="0" r="14605" b="279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3210560"/>
                        </a:xfrm>
                        <a:prstGeom prst="rect">
                          <a:avLst/>
                        </a:prstGeom>
                        <a:solidFill>
                          <a:srgbClr val="FFFFFF"/>
                        </a:solidFill>
                        <a:ln w="9525">
                          <a:solidFill>
                            <a:srgbClr val="000000"/>
                          </a:solidFill>
                          <a:miter lim="800000"/>
                          <a:headEnd/>
                          <a:tailEnd/>
                        </a:ln>
                      </wps:spPr>
                      <wps:txbx>
                        <w:txbxContent>
                          <w:p w14:paraId="17DA4A09" w14:textId="765190AD" w:rsidR="00173F31" w:rsidRPr="00E75800" w:rsidRDefault="00AD2A8F" w:rsidP="00173F31">
                            <w:pPr>
                              <w:spacing w:before="100" w:beforeAutospacing="1" w:after="0" w:line="240" w:lineRule="auto"/>
                              <w:rPr>
                                <w:rFonts w:ascii="Times" w:hAnsi="Times"/>
                                <w:sz w:val="20"/>
                                <w:szCs w:val="20"/>
                              </w:rPr>
                            </w:pPr>
                            <w:r>
                              <w:rPr>
                                <w:rFonts w:ascii="Calibri" w:eastAsia="Malgun Gothic" w:hAnsi="Calibri"/>
                              </w:rPr>
                              <w:object w:dxaOrig="4358" w:dyaOrig="4454" w14:anchorId="72613FD2">
                                <v:shape id="_x0000_i1034" type="#_x0000_t75" style="width:217.9pt;height:222.7pt">
                                  <v:imagedata r:id="rId21" o:title=""/>
                                </v:shape>
                                <o:OLEObject Type="Embed" ProgID="Grapher.Document" ShapeID="_x0000_i1034" DrawAspect="Content" ObjectID="_1705463879" r:id="rId22"/>
                              </w:object>
                            </w:r>
                            <w:r w:rsidR="00173F31" w:rsidRPr="00E75800">
                              <w:rPr>
                                <w:rFonts w:ascii="Times" w:hAnsi="Times"/>
                                <w:sz w:val="20"/>
                                <w:szCs w:val="20"/>
                              </w:rPr>
                              <w:t xml:space="preserve">Figure </w:t>
                            </w:r>
                            <w:r>
                              <w:rPr>
                                <w:rFonts w:ascii="Times" w:hAnsi="Times"/>
                                <w:sz w:val="20"/>
                                <w:szCs w:val="20"/>
                              </w:rPr>
                              <w:t>4b</w:t>
                            </w:r>
                            <w:r w:rsidR="00173F31" w:rsidRPr="00E75800">
                              <w:rPr>
                                <w:rFonts w:ascii="Times" w:hAnsi="Times"/>
                                <w:sz w:val="20"/>
                                <w:szCs w:val="20"/>
                              </w:rPr>
                              <w:t>: Design Chart for Load Standard Deviations of 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3C806" id="_x0000_s1030" type="#_x0000_t202" style="position:absolute;margin-left:178.65pt;margin-top:239.05pt;width:229.85pt;height:252.8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">
                <v:textbox>
                  <w:txbxContent>
                    <w:p w14:paraId="17DA4A09" w14:textId="765190AD" w:rsidR="00173F31" w:rsidRPr="00E75800" w:rsidRDefault="00AD2A8F" w:rsidP="00173F31">
                      <w:pPr>
                        <w:spacing w:before="100" w:beforeAutospacing="1" w:after="0" w:line="240" w:lineRule="auto"/>
                        <w:rPr>
                          <w:rFonts w:ascii="Times" w:hAnsi="Times"/>
                          <w:sz w:val="20"/>
                          <w:szCs w:val="20"/>
                        </w:rPr>
                      </w:pPr>
                      <w:r>
                        <w:rPr>
                          <w:rFonts w:ascii="Calibri" w:eastAsia="Malgun Gothic" w:hAnsi="Calibri"/>
                        </w:rPr>
                        <w:object w:dxaOrig="4358" w:dyaOrig="4454" w14:anchorId="72613FD2">
                          <v:shape id="_x0000_i1034" type="#_x0000_t75" style="width:217.9pt;height:222.7pt">
                            <v:imagedata r:id="rId23" o:title=""/>
                          </v:shape>
                          <o:OLEObject Type="Embed" ProgID="Grapher.Document" ShapeID="_x0000_i1034" DrawAspect="Content" ObjectID="_1705372643" r:id="rId24"/>
                        </w:object>
                      </w:r>
                      <w:r w:rsidR="00173F31" w:rsidRPr="00E75800">
                        <w:rPr>
                          <w:rFonts w:ascii="Times" w:hAnsi="Times"/>
                          <w:sz w:val="20"/>
                          <w:szCs w:val="20"/>
                        </w:rPr>
                        <w:t xml:space="preserve">Figure </w:t>
                      </w:r>
                      <w:r>
                        <w:rPr>
                          <w:rFonts w:ascii="Times" w:hAnsi="Times"/>
                          <w:sz w:val="20"/>
                          <w:szCs w:val="20"/>
                        </w:rPr>
                        <w:t>4b</w:t>
                      </w:r>
                      <w:r w:rsidR="00173F31" w:rsidRPr="00E75800">
                        <w:rPr>
                          <w:rFonts w:ascii="Times" w:hAnsi="Times"/>
                          <w:sz w:val="20"/>
                          <w:szCs w:val="20"/>
                        </w:rPr>
                        <w:t>: Design Chart for Load Standard Deviations of 0.1</w:t>
                      </w:r>
                    </w:p>
                  </w:txbxContent>
                </v:textbox>
                <w10:wrap type="square" anchorx="margin" anchory="margin"/>
              </v:shape>
            </w:pict>
          </mc:Fallback>
        </mc:AlternateContent>
      </w:r>
      <w:r w:rsidR="007776BA">
        <w:br w:type="page"/>
      </w:r>
    </w:p>
    <w:p w14:paraId="5ADAB828" w14:textId="5995DBC2" w:rsidR="003B47B3" w:rsidRDefault="00EE493F" w:rsidP="003B47B3">
      <w:r w:rsidRPr="005322B4">
        <w:rPr>
          <w:i/>
          <w:noProof/>
        </w:rPr>
        <w:lastRenderedPageBreak/>
        <mc:AlternateContent>
          <mc:Choice Requires="wps">
            <w:drawing>
              <wp:anchor distT="0" distB="0" distL="114300" distR="114300" simplePos="0" relativeHeight="251671552" behindDoc="0" locked="0" layoutInCell="1" allowOverlap="1" wp14:anchorId="105B0D7D" wp14:editId="5A9DFA3B">
                <wp:simplePos x="0" y="0"/>
                <wp:positionH relativeFrom="margin">
                  <wp:align>right</wp:align>
                </wp:positionH>
                <wp:positionV relativeFrom="paragraph">
                  <wp:posOffset>0</wp:posOffset>
                </wp:positionV>
                <wp:extent cx="2994660" cy="2547620"/>
                <wp:effectExtent l="0" t="0" r="15240" b="241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547620"/>
                        </a:xfrm>
                        <a:prstGeom prst="rect">
                          <a:avLst/>
                        </a:prstGeom>
                        <a:solidFill>
                          <a:srgbClr val="FFFFFF"/>
                        </a:solidFill>
                        <a:ln w="9525">
                          <a:solidFill>
                            <a:srgbClr val="000000"/>
                          </a:solidFill>
                          <a:miter lim="800000"/>
                          <a:headEnd/>
                          <a:tailEnd/>
                        </a:ln>
                      </wps:spPr>
                      <wps:txbx>
                        <w:txbxContent>
                          <w:p w14:paraId="114ECB17" w14:textId="28047F43" w:rsidR="005E5044" w:rsidRPr="00BC7897" w:rsidRDefault="005E5044" w:rsidP="005E5044">
                            <w:pPr>
                              <w:spacing w:after="0" w:line="240" w:lineRule="auto"/>
                              <w:rPr>
                                <w:rFonts w:ascii="Times" w:hAnsi="Times"/>
                                <w:sz w:val="20"/>
                                <w:szCs w:val="20"/>
                              </w:rPr>
                            </w:pPr>
                            <w:r>
                              <w:rPr>
                                <w:rFonts w:ascii="Calibri" w:hAnsi="Calibri"/>
                              </w:rPr>
                              <w:object w:dxaOrig="4435" w:dyaOrig="3379" w14:anchorId="4EA7AAC3">
                                <v:shape id="_x0000_i1036" type="#_x0000_t75" style="width:221.75pt;height:168.95pt">
                                  <v:imagedata r:id="rId25" o:title="" croptop="-981f"/>
                                </v:shape>
                                <o:OLEObject Type="Embed" ProgID="Grapher.Document" ShapeID="_x0000_i1036" DrawAspect="Content" ObjectID="_1705463880" r:id="rId26"/>
                              </w:object>
                            </w:r>
                            <w:r w:rsidRPr="00BC7897">
                              <w:rPr>
                                <w:rFonts w:ascii="Times" w:hAnsi="Times"/>
                                <w:sz w:val="20"/>
                                <w:szCs w:val="20"/>
                              </w:rPr>
                              <w:t xml:space="preserve">Figure </w:t>
                            </w:r>
                            <w:r w:rsidR="002E7ABE">
                              <w:rPr>
                                <w:rFonts w:ascii="Times" w:hAnsi="Times"/>
                                <w:sz w:val="20"/>
                                <w:szCs w:val="20"/>
                              </w:rPr>
                              <w:t>4d</w:t>
                            </w:r>
                            <w:r w:rsidRPr="00BC7897">
                              <w:rPr>
                                <w:rFonts w:ascii="Times" w:hAnsi="Times"/>
                                <w:sz w:val="20"/>
                                <w:szCs w:val="20"/>
                              </w:rPr>
                              <w:t>: Design Chart for Probability of Success for 1/300 Angular Distortion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B0D7D" id="_x0000_s1031" type="#_x0000_t202" style="position:absolute;margin-left:184.6pt;margin-top:0;width:235.8pt;height:200.6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">
                <v:textbox>
                  <w:txbxContent>
                    <w:p w14:paraId="114ECB17" w14:textId="28047F43" w:rsidR="005E5044" w:rsidRPr="00BC7897" w:rsidRDefault="005E5044" w:rsidP="005E5044">
                      <w:pPr>
                        <w:spacing w:after="0" w:line="240" w:lineRule="auto"/>
                        <w:rPr>
                          <w:rFonts w:ascii="Times" w:hAnsi="Times"/>
                          <w:sz w:val="20"/>
                          <w:szCs w:val="20"/>
                        </w:rPr>
                      </w:pPr>
                      <w:r>
                        <w:rPr>
                          <w:rFonts w:ascii="Calibri" w:hAnsi="Calibri"/>
                        </w:rPr>
                        <w:object w:dxaOrig="4435" w:dyaOrig="3379" w14:anchorId="4EA7AAC3">
                          <v:shape id="_x0000_i1036" type="#_x0000_t75" style="width:221.75pt;height:168.95pt">
                            <v:imagedata r:id="rId27" o:title="" croptop="-981f"/>
                          </v:shape>
                          <o:OLEObject Type="Embed" ProgID="Grapher.Document" ShapeID="_x0000_i1036" DrawAspect="Content" ObjectID="_1705372644" r:id="rId28"/>
                        </w:object>
                      </w:r>
                      <w:r w:rsidRPr="00BC7897">
                        <w:rPr>
                          <w:rFonts w:ascii="Times" w:hAnsi="Times"/>
                          <w:sz w:val="20"/>
                          <w:szCs w:val="20"/>
                        </w:rPr>
                        <w:t xml:space="preserve">Figure </w:t>
                      </w:r>
                      <w:r w:rsidR="002E7ABE">
                        <w:rPr>
                          <w:rFonts w:ascii="Times" w:hAnsi="Times"/>
                          <w:sz w:val="20"/>
                          <w:szCs w:val="20"/>
                        </w:rPr>
                        <w:t>4d</w:t>
                      </w:r>
                      <w:r w:rsidRPr="00BC7897">
                        <w:rPr>
                          <w:rFonts w:ascii="Times" w:hAnsi="Times"/>
                          <w:sz w:val="20"/>
                          <w:szCs w:val="20"/>
                        </w:rPr>
                        <w:t>: Design Chart for Probability of Success for 1/300 Angular Distortion</w:t>
                      </w:r>
                    </w:p>
                  </w:txbxContent>
                </v:textbox>
                <w10:wrap type="square"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3F99C78C" wp14:editId="1DACE530">
                <wp:simplePos x="0" y="0"/>
                <wp:positionH relativeFrom="margin">
                  <wp:align>left</wp:align>
                </wp:positionH>
                <wp:positionV relativeFrom="paragraph">
                  <wp:posOffset>0</wp:posOffset>
                </wp:positionV>
                <wp:extent cx="2927350" cy="2566035"/>
                <wp:effectExtent l="0" t="0" r="25400" b="2476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2566035"/>
                        </a:xfrm>
                        <a:prstGeom prst="rect">
                          <a:avLst/>
                        </a:prstGeom>
                        <a:solidFill>
                          <a:srgbClr val="FFFFFF"/>
                        </a:solidFill>
                        <a:ln w="9525">
                          <a:solidFill>
                            <a:srgbClr val="000000"/>
                          </a:solidFill>
                          <a:miter lim="800000"/>
                          <a:headEnd/>
                          <a:tailEnd/>
                        </a:ln>
                      </wps:spPr>
                      <wps:txbx>
                        <w:txbxContent>
                          <w:p w14:paraId="4E3703E3" w14:textId="6D454806" w:rsidR="005E5044" w:rsidRPr="00B2595D" w:rsidRDefault="005E5044" w:rsidP="005E5044">
                            <w:pPr>
                              <w:rPr>
                                <w:rFonts w:ascii="Times" w:hAnsi="Times"/>
                                <w:sz w:val="20"/>
                                <w:szCs w:val="20"/>
                              </w:rPr>
                            </w:pPr>
                            <w:r>
                              <w:rPr>
                                <w:rFonts w:ascii="Calibri" w:hAnsi="Calibri"/>
                              </w:rPr>
                              <w:object w:dxaOrig="4301" w:dyaOrig="3398" w14:anchorId="4561A656">
                                <v:shape id="_x0000_i1038" type="#_x0000_t75" style="width:215.05pt;height:169.9pt">
                                  <v:imagedata r:id="rId29" o:title=""/>
                                </v:shape>
                                <o:OLEObject Type="Embed" ProgID="Grapher.Document" ShapeID="_x0000_i1038" DrawAspect="Content" ObjectID="_1705463881" r:id="rId30"/>
                              </w:object>
                            </w:r>
                            <w:r w:rsidRPr="00B2595D">
                              <w:rPr>
                                <w:rFonts w:ascii="Times" w:hAnsi="Times"/>
                                <w:sz w:val="20"/>
                                <w:szCs w:val="20"/>
                              </w:rPr>
                              <w:t xml:space="preserve">Figure </w:t>
                            </w:r>
                            <w:r>
                              <w:rPr>
                                <w:rFonts w:ascii="Times" w:hAnsi="Times"/>
                                <w:sz w:val="20"/>
                                <w:szCs w:val="20"/>
                              </w:rPr>
                              <w:t>4c</w:t>
                            </w:r>
                            <w:r w:rsidRPr="00B2595D">
                              <w:rPr>
                                <w:rFonts w:ascii="Times" w:hAnsi="Times"/>
                                <w:sz w:val="20"/>
                                <w:szCs w:val="20"/>
                              </w:rPr>
                              <w:t>: Design Chart for Probability of Success</w:t>
                            </w:r>
                            <w:r>
                              <w:rPr>
                                <w:rFonts w:ascii="Times" w:hAnsi="Times"/>
                                <w:sz w:val="20"/>
                                <w:szCs w:val="20"/>
                              </w:rPr>
                              <w:t xml:space="preserve"> f</w:t>
                            </w:r>
                            <w:r w:rsidRPr="00B2595D">
                              <w:rPr>
                                <w:rFonts w:ascii="Times" w:hAnsi="Times"/>
                                <w:sz w:val="20"/>
                                <w:szCs w:val="20"/>
                              </w:rPr>
                              <w:t>or Settlement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9C78C" id="_x0000_s1032" type="#_x0000_t202" style="position:absolute;margin-left:0;margin-top:0;width:230.5pt;height:202.0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">
                <v:textbox>
                  <w:txbxContent>
                    <w:p w14:paraId="4E3703E3" w14:textId="6D454806" w:rsidR="005E5044" w:rsidRPr="00B2595D" w:rsidRDefault="005E5044" w:rsidP="005E5044">
                      <w:pPr>
                        <w:rPr>
                          <w:rFonts w:ascii="Times" w:hAnsi="Times"/>
                          <w:sz w:val="20"/>
                          <w:szCs w:val="20"/>
                        </w:rPr>
                      </w:pPr>
                      <w:r>
                        <w:rPr>
                          <w:rFonts w:ascii="Calibri" w:hAnsi="Calibri"/>
                        </w:rPr>
                        <w:object w:dxaOrig="4301" w:dyaOrig="3398" w14:anchorId="4561A656">
                          <v:shape id="_x0000_i1038" type="#_x0000_t75" style="width:215.05pt;height:169.9pt">
                            <v:imagedata r:id="rId31" o:title=""/>
                          </v:shape>
                          <o:OLEObject Type="Embed" ProgID="Grapher.Document" ShapeID="_x0000_i1038" DrawAspect="Content" ObjectID="_1705372645" r:id="rId32"/>
                        </w:object>
                      </w:r>
                      <w:r w:rsidRPr="00B2595D">
                        <w:rPr>
                          <w:rFonts w:ascii="Times" w:hAnsi="Times"/>
                          <w:sz w:val="20"/>
                          <w:szCs w:val="20"/>
                        </w:rPr>
                        <w:t xml:space="preserve">Figure </w:t>
                      </w:r>
                      <w:r>
                        <w:rPr>
                          <w:rFonts w:ascii="Times" w:hAnsi="Times"/>
                          <w:sz w:val="20"/>
                          <w:szCs w:val="20"/>
                        </w:rPr>
                        <w:t>4c</w:t>
                      </w:r>
                      <w:r w:rsidRPr="00B2595D">
                        <w:rPr>
                          <w:rFonts w:ascii="Times" w:hAnsi="Times"/>
                          <w:sz w:val="20"/>
                          <w:szCs w:val="20"/>
                        </w:rPr>
                        <w:t>: Design Chart for Probability of Success</w:t>
                      </w:r>
                      <w:r>
                        <w:rPr>
                          <w:rFonts w:ascii="Times" w:hAnsi="Times"/>
                          <w:sz w:val="20"/>
                          <w:szCs w:val="20"/>
                        </w:rPr>
                        <w:t xml:space="preserve"> f</w:t>
                      </w:r>
                      <w:r w:rsidRPr="00B2595D">
                        <w:rPr>
                          <w:rFonts w:ascii="Times" w:hAnsi="Times"/>
                          <w:sz w:val="20"/>
                          <w:szCs w:val="20"/>
                        </w:rPr>
                        <w:t>or Settlement</w:t>
                      </w:r>
                    </w:p>
                  </w:txbxContent>
                </v:textbox>
                <w10:wrap type="square" anchorx="margin"/>
              </v:shape>
            </w:pict>
          </mc:Fallback>
        </mc:AlternateContent>
      </w:r>
    </w:p>
    <w:p w14:paraId="0FAE25D6" w14:textId="54319CA6" w:rsidR="00F006AB" w:rsidRDefault="00EE493F">
      <w:r w:rsidRPr="00F006AB">
        <w:rPr>
          <w:noProof/>
        </w:rPr>
        <w:drawing>
          <wp:anchor distT="0" distB="0" distL="114300" distR="114300" simplePos="0" relativeHeight="251672576" behindDoc="0" locked="0" layoutInCell="1" allowOverlap="1" wp14:anchorId="4AC608F1" wp14:editId="0E537E33">
            <wp:simplePos x="0" y="0"/>
            <wp:positionH relativeFrom="margin">
              <wp:align>right</wp:align>
            </wp:positionH>
            <wp:positionV relativeFrom="paragraph">
              <wp:posOffset>35306</wp:posOffset>
            </wp:positionV>
            <wp:extent cx="3191256" cy="2962656"/>
            <wp:effectExtent l="0" t="0" r="0" b="9525"/>
            <wp:wrapSquare wrapText="left"/>
            <wp:docPr id="275463" name="Picture 7">
              <a:extLst xmlns:a="http://schemas.openxmlformats.org/drawingml/2006/main">
                <a:ext uri="{FF2B5EF4-FFF2-40B4-BE49-F238E27FC236}">
                  <a16:creationId xmlns:a16="http://schemas.microsoft.com/office/drawing/2014/main" id="{DB5CB72E-339C-492E-B111-7694CC8F3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63" name="Picture 7">
                      <a:extLst>
                        <a:ext uri="{FF2B5EF4-FFF2-40B4-BE49-F238E27FC236}">
                          <a16:creationId xmlns:a16="http://schemas.microsoft.com/office/drawing/2014/main" id="{DB5CB72E-339C-492E-B111-7694CC8F3AF2}"/>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1256" cy="296265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5421E">
        <w:t>The property’s standard deviation represents uncertainty—low uncertainty has low standard deviations while high uncertainty has high standard deviations</w:t>
      </w:r>
      <w:r w:rsidR="007561FE">
        <w:t xml:space="preserve">.  </w:t>
      </w:r>
      <w:r w:rsidR="00E5421E">
        <w:t>With accurate measurements, the probability distribution function for the soil or rock property becomes narrow and steep, because its values fall within the narrow band centered around its average value</w:t>
      </w:r>
      <w:r w:rsidR="007561FE">
        <w:t xml:space="preserve"> with low standard deviations and end limits close to the average value</w:t>
      </w:r>
      <w:r w:rsidR="00E5421E">
        <w:t xml:space="preserve">.  </w:t>
      </w:r>
      <w:r w:rsidR="007561FE">
        <w:t>In this case the probability distribution curve is steep and narrow.  On the other hand, where the soil or rock property has high uncertainty, the resulting probability distribution curve becomes wide and short to cover the wide range of potential values</w:t>
      </w:r>
      <w:r w:rsidR="00543A66">
        <w:t xml:space="preserve"> (Figure </w:t>
      </w:r>
      <w:r w:rsidR="00F006AB">
        <w:t>5</w:t>
      </w:r>
      <w:r w:rsidR="00543A66">
        <w:t>)</w:t>
      </w:r>
      <w:r w:rsidR="007561FE">
        <w:t>.</w:t>
      </w:r>
      <w:r w:rsidR="00922FE9">
        <w:t xml:space="preserve">  </w:t>
      </w:r>
    </w:p>
    <w:p w14:paraId="1AC29E1B" w14:textId="36A94425" w:rsidR="00F006AB" w:rsidRDefault="00F006AB" w:rsidP="00F006AB">
      <w:pPr>
        <w:ind w:firstLine="720"/>
      </w:pPr>
      <w:r>
        <w:t>Figure 5: Probability of success=0.95 for both homogeneous and heterogeneous uncertainties</w:t>
      </w:r>
    </w:p>
    <w:p w14:paraId="0BB4E4E8" w14:textId="51BCD484" w:rsidR="00E5421E" w:rsidRDefault="00922FE9">
      <w:r>
        <w:t>The engineer can compute the standard deviation from three sources of uncertainty</w:t>
      </w:r>
      <w:r w:rsidR="00C40104">
        <w:t>:</w:t>
      </w:r>
    </w:p>
    <w:p w14:paraId="44281824" w14:textId="0F0BA38B" w:rsidR="00C40104" w:rsidRDefault="00C40104" w:rsidP="00C40104">
      <w:pPr>
        <w:pStyle w:val="ListParagraph"/>
        <w:numPr>
          <w:ilvl w:val="0"/>
          <w:numId w:val="1"/>
        </w:numPr>
      </w:pPr>
      <w:r>
        <w:t>the site or spatial variability of the soil/rock properties,</w:t>
      </w:r>
    </w:p>
    <w:p w14:paraId="5654B638" w14:textId="7FD186D3" w:rsidR="00C40104" w:rsidRDefault="00C40104" w:rsidP="00C40104">
      <w:pPr>
        <w:pStyle w:val="ListParagraph"/>
        <w:numPr>
          <w:ilvl w:val="0"/>
          <w:numId w:val="1"/>
        </w:numPr>
      </w:pPr>
      <w:r>
        <w:t>the accuracy of the prediction method, which can be computed from case study databases,</w:t>
      </w:r>
    </w:p>
    <w:p w14:paraId="045C5587" w14:textId="6DCEAFB6" w:rsidR="00C40104" w:rsidRDefault="00C40104" w:rsidP="00C40104">
      <w:pPr>
        <w:pStyle w:val="ListParagraph"/>
        <w:numPr>
          <w:ilvl w:val="0"/>
          <w:numId w:val="1"/>
        </w:numPr>
      </w:pPr>
      <w:r>
        <w:t>and other intangible sources based on engineering judgment.</w:t>
      </w:r>
    </w:p>
    <w:p w14:paraId="309E3C2F" w14:textId="4177AC0B" w:rsidR="00C40104" w:rsidRDefault="00C40104" w:rsidP="00C40104">
      <w:pPr>
        <w:pStyle w:val="ListParagraph"/>
        <w:ind w:left="0"/>
      </w:pPr>
    </w:p>
    <w:p w14:paraId="6C7CEBC6" w14:textId="3FD1D746" w:rsidR="00543A66" w:rsidRDefault="00543A66" w:rsidP="00C40104">
      <w:pPr>
        <w:pStyle w:val="ListParagraph"/>
        <w:ind w:left="0"/>
      </w:pPr>
      <w:r>
        <w:t>If the</w:t>
      </w:r>
      <w:r w:rsidR="005530AA">
        <w:t xml:space="preserve"> engineer views these</w:t>
      </w:r>
      <w:r>
        <w:t xml:space="preserve"> three sources of standard deviation a</w:t>
      </w:r>
      <w:r w:rsidR="005530AA">
        <w:t>s</w:t>
      </w:r>
      <w:r>
        <w:t xml:space="preserve"> independent of each other, then the overall standard deviation equals:</w:t>
      </w:r>
    </w:p>
    <w:p w14:paraId="69447137" w14:textId="01B83DB3" w:rsidR="00226CAC" w:rsidRDefault="00226CAC" w:rsidP="00C40104">
      <w:pPr>
        <w:pStyle w:val="ListParagraph"/>
        <w:ind w:left="0"/>
      </w:pPr>
    </w:p>
    <w:p w14:paraId="1423B307" w14:textId="453D2890" w:rsidR="00226CAC" w:rsidRPr="00226CAC" w:rsidRDefault="00226CAC" w:rsidP="00C40104">
      <w:pPr>
        <w:pStyle w:val="ListParagraph"/>
        <w:ind w:left="0"/>
        <w:rPr>
          <w:rFonts w:ascii="Cambria Math" w:hAnsi="Cambria Math" w:cstheme="minorHAnsi"/>
          <w:i/>
        </w:rPr>
      </w:pPr>
      <w:r>
        <w:tab/>
      </w:r>
      <m:oMath>
        <m:sSub>
          <m:sSubPr>
            <m:ctrlPr>
              <w:rPr>
                <w:rFonts w:ascii="Cambria Math" w:hAnsi="Cambria Math"/>
                <w:i/>
              </w:rPr>
            </m:ctrlPr>
          </m:sSubPr>
          <m:e>
            <m:r>
              <w:rPr>
                <w:rFonts w:ascii="Cambria Math" w:hAnsi="Cambria Math"/>
              </w:rPr>
              <m:t>σ</m:t>
            </m:r>
          </m:e>
          <m:sub>
            <m:r>
              <w:rPr>
                <w:rFonts w:ascii="Cambria Math" w:hAnsi="Cambria Math"/>
              </w:rPr>
              <m:t>overall</m:t>
            </m:r>
          </m:sub>
        </m:sSub>
        <m:r>
          <w:rPr>
            <w:rFonts w:ascii="Cambria Math" w:hAnsi="Cambria Math" w:cstheme="minorHAnsi"/>
          </w:rPr>
          <m:t>=</m:t>
        </m:r>
        <m:rad>
          <m:radPr>
            <m:degHide m:val="1"/>
            <m:ctrlPr>
              <w:rPr>
                <w:rFonts w:ascii="Cambria Math" w:hAnsi="Cambria Math" w:cstheme="minorHAnsi"/>
                <w:i/>
              </w:rPr>
            </m:ctrlPr>
          </m:radPr>
          <m:deg/>
          <m:e>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spatial-site</m:t>
                </m:r>
              </m:sub>
              <m:sup>
                <m:r>
                  <w:rPr>
                    <w:rFonts w:ascii="Cambria Math" w:hAnsi="Cambria Math" w:cstheme="minorHAnsi"/>
                  </w:rPr>
                  <m:t xml:space="preserve">                           2</m:t>
                </m:r>
              </m:sup>
            </m:sSubSup>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test-method</m:t>
                </m:r>
              </m:sub>
              <m:sup>
                <m:r>
                  <w:rPr>
                    <w:rFonts w:ascii="Cambria Math" w:hAnsi="Cambria Math" w:cstheme="minorHAnsi"/>
                  </w:rPr>
                  <m:t xml:space="preserve">                             2</m:t>
                </m:r>
              </m:sup>
            </m:sSubSup>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intangible-other</m:t>
                </m:r>
              </m:sub>
              <m:sup>
                <m:r>
                  <w:rPr>
                    <w:rFonts w:ascii="Cambria Math" w:hAnsi="Cambria Math" w:cstheme="minorHAnsi"/>
                  </w:rPr>
                  <m:t xml:space="preserve">                                        2</m:t>
                </m:r>
              </m:sup>
            </m:sSubSup>
            <m:r>
              <w:rPr>
                <w:rFonts w:ascii="Cambria Math" w:hAnsi="Cambria Math" w:cstheme="minorHAnsi"/>
              </w:rPr>
              <m:t xml:space="preserve"> </m:t>
            </m:r>
          </m:e>
        </m:rad>
      </m:oMath>
    </w:p>
    <w:p w14:paraId="526C70EA" w14:textId="77777777" w:rsidR="00163CF2" w:rsidRDefault="00E11EFB" w:rsidP="00C40104">
      <w:pPr>
        <w:pStyle w:val="ListParagraph"/>
        <w:ind w:left="0"/>
      </w:pPr>
      <w:r>
        <w:lastRenderedPageBreak/>
        <w:t xml:space="preserve">The overall standard deviation will decrease if these sources of uncertainty have some dependence with each other. </w:t>
      </w:r>
    </w:p>
    <w:p w14:paraId="6E956375" w14:textId="7B0E7CAF" w:rsidR="00163CF2" w:rsidRDefault="00163CF2" w:rsidP="00C40104">
      <w:pPr>
        <w:pStyle w:val="ListParagraph"/>
        <w:ind w:left="0"/>
      </w:pPr>
    </w:p>
    <w:p w14:paraId="363F8C32" w14:textId="75D22CAC" w:rsidR="00895038" w:rsidRDefault="007B7F24" w:rsidP="00C40104">
      <w:pPr>
        <w:pStyle w:val="ListParagraph"/>
        <w:ind w:left="0"/>
      </w:pPr>
      <w:r w:rsidRPr="007B7F24">
        <w:rPr>
          <w:noProof/>
        </w:rPr>
        <w:drawing>
          <wp:anchor distT="0" distB="0" distL="114300" distR="114300" simplePos="0" relativeHeight="251673600" behindDoc="0" locked="0" layoutInCell="1" allowOverlap="1" wp14:anchorId="65EC073E" wp14:editId="5CD84C2F">
            <wp:simplePos x="0" y="0"/>
            <wp:positionH relativeFrom="column">
              <wp:posOffset>2750820</wp:posOffset>
            </wp:positionH>
            <wp:positionV relativeFrom="paragraph">
              <wp:posOffset>194945</wp:posOffset>
            </wp:positionV>
            <wp:extent cx="3167380" cy="2377440"/>
            <wp:effectExtent l="0" t="0" r="0" b="3810"/>
            <wp:wrapSquare wrapText="left"/>
            <wp:docPr id="123906" name="Picture 2" descr="Settlement versus stress bulb">
              <a:extLst xmlns:a="http://schemas.openxmlformats.org/drawingml/2006/main">
                <a:ext uri="{FF2B5EF4-FFF2-40B4-BE49-F238E27FC236}">
                  <a16:creationId xmlns:a16="http://schemas.microsoft.com/office/drawing/2014/main" id="{90A1CEE7-C075-41EC-8B18-709F155AD8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6" name="Picture 2" descr="Settlement versus stress bulb">
                      <a:extLst>
                        <a:ext uri="{FF2B5EF4-FFF2-40B4-BE49-F238E27FC236}">
                          <a16:creationId xmlns:a16="http://schemas.microsoft.com/office/drawing/2014/main" id="{90A1CEE7-C075-41EC-8B18-709F155AD889}"/>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738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A66">
        <w:t xml:space="preserve">Often, geotechnical engineers recommend </w:t>
      </w:r>
      <w:r w:rsidR="00E63982">
        <w:t>a single allowable bearing capacity for all shallow spread footings or a single pile tip elevation for all deep foundations to support the proposed structure.  Even if the soil has exactly the same deformation modulus for the entire site, different column loads will mathematically cause differential settlement.  Smaller column loads have smaller stress bulbs, while larger column loads have larger stress bulbs</w:t>
      </w:r>
      <w:r w:rsidR="00A31985">
        <w:t xml:space="preserve">.  For a constant deformation modulus of 100 bars, Failmezger shows in Figure </w:t>
      </w:r>
      <w:r w:rsidR="00895038">
        <w:t>6</w:t>
      </w:r>
      <w:r w:rsidR="00A31985">
        <w:t xml:space="preserve"> </w:t>
      </w:r>
      <w:r w:rsidR="005530AA">
        <w:t>that</w:t>
      </w:r>
      <w:r w:rsidR="00A31985">
        <w:t xml:space="preserve"> larger stress bulbs result in larger settlements for the larger applied column loads.</w:t>
      </w:r>
    </w:p>
    <w:p w14:paraId="6B2F6E23" w14:textId="56E790C1" w:rsidR="00895038" w:rsidRDefault="00895038" w:rsidP="00C40104">
      <w:pPr>
        <w:pStyle w:val="ListParagraph"/>
        <w:ind w:left="0"/>
      </w:pPr>
    </w:p>
    <w:p w14:paraId="0CA93174" w14:textId="1189A883" w:rsidR="00895038" w:rsidRDefault="007B7F24" w:rsidP="00945148">
      <w:pPr>
        <w:pStyle w:val="ListParagraph"/>
        <w:ind w:left="0" w:firstLine="720"/>
      </w:pPr>
      <w:r>
        <w:t xml:space="preserve">     </w:t>
      </w:r>
      <w:r w:rsidR="00895038">
        <w:t>Figure 6: For same stiffness and applied bearing pressure—more settlement for larger loads</w:t>
      </w:r>
    </w:p>
    <w:p w14:paraId="14383F0D" w14:textId="77777777" w:rsidR="00945148" w:rsidRDefault="00945148" w:rsidP="00C40104">
      <w:pPr>
        <w:pStyle w:val="ListParagraph"/>
        <w:ind w:left="0"/>
      </w:pPr>
    </w:p>
    <w:p w14:paraId="0E81EDC5" w14:textId="742C8D31" w:rsidR="00543A66" w:rsidRDefault="00343E3A" w:rsidP="00C40104">
      <w:pPr>
        <w:pStyle w:val="ListParagraph"/>
        <w:ind w:left="0"/>
      </w:pPr>
      <w:r>
        <w:t>Ideally, for the best</w:t>
      </w:r>
      <w:r w:rsidR="008546C8">
        <w:t xml:space="preserve"> performance of the structure, </w:t>
      </w:r>
      <w:r>
        <w:t xml:space="preserve">the </w:t>
      </w:r>
      <w:r w:rsidR="008546C8">
        <w:t>geotechnical engineer would design so that each shallow spread footing settled the same amount or each deep foundation pile or pier supports th</w:t>
      </w:r>
      <w:r w:rsidR="00437750">
        <w:t>e</w:t>
      </w:r>
      <w:r w:rsidR="008546C8">
        <w:t xml:space="preserve"> same applied load.  </w:t>
      </w:r>
      <w:r w:rsidR="00A31985">
        <w:t xml:space="preserve">Failmezger and Bullock (2004) present </w:t>
      </w:r>
      <w:r w:rsidR="003845DA">
        <w:t xml:space="preserve">guidance in their technical paper, </w:t>
      </w:r>
      <w:r w:rsidR="003845DA" w:rsidRPr="003845DA">
        <w:rPr>
          <w:color w:val="0000FF"/>
        </w:rPr>
        <w:t>Individual Foundation Design for Column Loads</w:t>
      </w:r>
      <w:r w:rsidR="003845DA">
        <w:t>.</w:t>
      </w:r>
      <w:r w:rsidR="00A31985">
        <w:t xml:space="preserve"> </w:t>
      </w:r>
      <w:r w:rsidR="003845DA">
        <w:t xml:space="preserve"> </w:t>
      </w:r>
      <w:r w:rsidR="00D274E9">
        <w:rPr>
          <w:color w:val="0000FF"/>
        </w:rPr>
        <w:t xml:space="preserve">Failmezger and </w:t>
      </w:r>
      <w:proofErr w:type="spellStart"/>
      <w:r w:rsidR="00D274E9">
        <w:rPr>
          <w:color w:val="0000FF"/>
        </w:rPr>
        <w:t>N</w:t>
      </w:r>
      <w:r w:rsidR="003845DA" w:rsidRPr="00D274E9">
        <w:rPr>
          <w:color w:val="0000FF"/>
        </w:rPr>
        <w:t>iber</w:t>
      </w:r>
      <w:proofErr w:type="spellEnd"/>
      <w:r w:rsidR="003845DA">
        <w:t xml:space="preserve"> (2006) present a case study using accurate dilatometer test data to predict settlement and probability analyses to design a shallow foundation system for a parking garage for Washington D.C. metro system</w:t>
      </w:r>
      <w:bookmarkStart w:id="0" w:name="_Hlk94851049"/>
      <w:r w:rsidR="003845DA">
        <w:t xml:space="preserve">.  </w:t>
      </w:r>
      <w:r w:rsidR="003812C2">
        <w:t xml:space="preserve">The owner should be involved in making risk decisions for </w:t>
      </w:r>
      <w:r w:rsidR="008546C8">
        <w:t xml:space="preserve">the </w:t>
      </w:r>
      <w:r w:rsidR="003812C2">
        <w:t>foundation design solution</w:t>
      </w:r>
      <w:r w:rsidR="00163CF2">
        <w:t>, as Failmezger</w:t>
      </w:r>
      <w:r w:rsidR="00CC66DE">
        <w:t xml:space="preserve"> and Bullock</w:t>
      </w:r>
      <w:r w:rsidR="00163CF2">
        <w:t xml:space="preserve"> discuss in </w:t>
      </w:r>
      <w:r w:rsidR="00163CF2" w:rsidRPr="00163CF2">
        <w:rPr>
          <w:color w:val="0000FF"/>
        </w:rPr>
        <w:t>Owner Involvement--Choosing Risk Factors for Shallow Foundations</w:t>
      </w:r>
      <w:r w:rsidR="00163CF2" w:rsidRPr="00163CF2">
        <w:t>.</w:t>
      </w:r>
    </w:p>
    <w:bookmarkEnd w:id="0"/>
    <w:p w14:paraId="32A8BA04" w14:textId="0E591709" w:rsidR="002A11C7" w:rsidRDefault="00386BA4">
      <w:r>
        <w:rPr>
          <w:noProof/>
        </w:rPr>
        <mc:AlternateContent>
          <mc:Choice Requires="wps">
            <w:drawing>
              <wp:anchor distT="45720" distB="45720" distL="114300" distR="114300" simplePos="0" relativeHeight="251675648" behindDoc="0" locked="0" layoutInCell="1" allowOverlap="1" wp14:anchorId="50A1ADDD" wp14:editId="758559B3">
                <wp:simplePos x="0" y="0"/>
                <wp:positionH relativeFrom="column">
                  <wp:posOffset>3275330</wp:posOffset>
                </wp:positionH>
                <wp:positionV relativeFrom="paragraph">
                  <wp:posOffset>218440</wp:posOffset>
                </wp:positionV>
                <wp:extent cx="2987040" cy="2562860"/>
                <wp:effectExtent l="0" t="0" r="22860" b="279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562860"/>
                        </a:xfrm>
                        <a:prstGeom prst="rect">
                          <a:avLst/>
                        </a:prstGeom>
                        <a:solidFill>
                          <a:srgbClr val="FFFFFF"/>
                        </a:solidFill>
                        <a:ln w="9525">
                          <a:solidFill>
                            <a:srgbClr val="000000"/>
                          </a:solidFill>
                          <a:miter lim="800000"/>
                          <a:headEnd/>
                          <a:tailEnd/>
                        </a:ln>
                      </wps:spPr>
                      <wps:txbx>
                        <w:txbxContent>
                          <w:p w14:paraId="5C008465" w14:textId="23728C21" w:rsidR="00386BA4" w:rsidRDefault="00386BA4">
                            <w:r>
                              <w:object w:dxaOrig="4531" w:dyaOrig="3782" w14:anchorId="7B4E435C">
                                <v:shape id="_x0000_i1040" type="#_x0000_t75" style="width:226.55pt;height:189.1pt">
                                  <v:imagedata r:id="rId35" o:title=""/>
                                </v:shape>
                                <o:OLEObject Type="Embed" ProgID="Grapher.Document" ShapeID="_x0000_i1040" DrawAspect="Content" ObjectID="_1705463882" r:id="rId36"/>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1ADDD" id="_x0000_s1033" type="#_x0000_t202" style="position:absolute;margin-left:257.9pt;margin-top:17.2pt;width:235.2pt;height:201.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">
                <v:textbox>
                  <w:txbxContent>
                    <w:p w14:paraId="5C008465" w14:textId="23728C21" w:rsidR="00386BA4" w:rsidRDefault="00386BA4">
                      <w:r>
                        <w:object w:dxaOrig="4531" w:dyaOrig="3782" w14:anchorId="7B4E435C">
                          <v:shape id="_x0000_i1040" type="#_x0000_t75" style="width:226.55pt;height:189.1pt">
                            <v:imagedata r:id="rId37" o:title=""/>
                          </v:shape>
                          <o:OLEObject Type="Embed" ProgID="Grapher.Document" ShapeID="_x0000_i1040" DrawAspect="Content" ObjectID="_1705372646" r:id="rId38"/>
                        </w:object>
                      </w:r>
                    </w:p>
                  </w:txbxContent>
                </v:textbox>
                <w10:wrap type="square"/>
              </v:shape>
            </w:pict>
          </mc:Fallback>
        </mc:AlternateContent>
      </w:r>
      <w:r w:rsidR="002A11C7">
        <w:t>Engineering design should consider two types of failure:</w:t>
      </w:r>
      <w:r w:rsidR="006D27C0">
        <w:t xml:space="preserve"> 1) failure of the structure to perform satisfactorily and 2) financial failure—the owner</w:t>
      </w:r>
      <w:r w:rsidR="00437750">
        <w:t xml:space="preserve">’s </w:t>
      </w:r>
      <w:r w:rsidR="006D27C0">
        <w:t xml:space="preserve">additional and unnecessary </w:t>
      </w:r>
      <w:r w:rsidR="005D07DD">
        <w:t>costs</w:t>
      </w:r>
      <w:r w:rsidR="006D27C0">
        <w:t xml:space="preserve"> from overly-conservative designs </w:t>
      </w:r>
      <w:r w:rsidR="005D07DD">
        <w:t>as a result of</w:t>
      </w:r>
      <w:r w:rsidR="006D27C0">
        <w:t xml:space="preserve"> high uncertainty in the soil or rock properties</w:t>
      </w:r>
      <w:r w:rsidR="00922FE9">
        <w:t xml:space="preserve"> (Figure </w:t>
      </w:r>
      <w:r w:rsidR="00945148">
        <w:t>7</w:t>
      </w:r>
      <w:r w:rsidR="00922FE9">
        <w:t>)</w:t>
      </w:r>
      <w:r w:rsidR="006D27C0">
        <w:t>.</w:t>
      </w:r>
      <w:r w:rsidR="009739BC">
        <w:t xml:space="preserve">  The engineer should balance these two sources of failure by making accurate measurements of the soil or rock properties, resulting in an accurate, safe and cost</w:t>
      </w:r>
      <w:r w:rsidR="005D07DD">
        <w:t>-</w:t>
      </w:r>
      <w:r w:rsidR="009739BC">
        <w:t>efficient design.</w:t>
      </w:r>
      <w:r w:rsidR="00F654E2">
        <w:t xml:space="preserve">  Failmezger (2021) explains further</w:t>
      </w:r>
      <w:r w:rsidR="003812C2">
        <w:t xml:space="preserve"> the additional cost that the owner will have if the geotechnical engineer does not design based on thorough knowledge of the soil or rock properties at the site</w:t>
      </w:r>
      <w:r w:rsidR="00F654E2">
        <w:t xml:space="preserve"> in his technical paper, “</w:t>
      </w:r>
      <w:r w:rsidR="00F654E2" w:rsidRPr="00F654E2">
        <w:rPr>
          <w:color w:val="0000FF"/>
        </w:rPr>
        <w:t>Financial Failure—The High Cost of Not Knowing</w:t>
      </w:r>
      <w:r w:rsidR="00F654E2">
        <w:t>”.</w:t>
      </w:r>
      <w:r w:rsidR="0071758A">
        <w:t xml:space="preserve">  </w:t>
      </w:r>
      <w:proofErr w:type="spellStart"/>
      <w:r w:rsidR="0071758A" w:rsidRPr="0071758A">
        <w:rPr>
          <w:color w:val="0000FF"/>
        </w:rPr>
        <w:t>Brumund</w:t>
      </w:r>
      <w:proofErr w:type="spellEnd"/>
      <w:r w:rsidR="0071758A" w:rsidRPr="0071758A">
        <w:rPr>
          <w:color w:val="0000FF"/>
        </w:rPr>
        <w:t xml:space="preserve"> (2011)</w:t>
      </w:r>
      <w:r w:rsidR="0071758A">
        <w:t xml:space="preserve"> discusses business risks for geotechnical engineering firms.</w:t>
      </w:r>
    </w:p>
    <w:p w14:paraId="7BE003C0" w14:textId="63682DE9" w:rsidR="00E95EB3" w:rsidRPr="00265837" w:rsidRDefault="008F6535" w:rsidP="00796F87">
      <w:pPr>
        <w:ind w:left="5040"/>
      </w:pPr>
      <w:r>
        <w:t xml:space="preserve">          </w:t>
      </w:r>
      <w:r w:rsidR="00386BA4">
        <w:t xml:space="preserve">Figure 7: </w:t>
      </w:r>
      <w:r>
        <w:t>Financial Failure Calculating Risk</w:t>
      </w:r>
    </w:p>
    <w:sectPr w:rsidR="00E95EB3" w:rsidRPr="002658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7F797D"/>
    <w:multiLevelType w:val="hybridMultilevel"/>
    <w:tmpl w:val="FB126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80E"/>
    <w:rsid w:val="00003835"/>
    <w:rsid w:val="00006537"/>
    <w:rsid w:val="00012B63"/>
    <w:rsid w:val="0004792C"/>
    <w:rsid w:val="00144569"/>
    <w:rsid w:val="0014792E"/>
    <w:rsid w:val="00163CF2"/>
    <w:rsid w:val="00173F31"/>
    <w:rsid w:val="0018743F"/>
    <w:rsid w:val="001C4957"/>
    <w:rsid w:val="00226CAC"/>
    <w:rsid w:val="00233525"/>
    <w:rsid w:val="00265837"/>
    <w:rsid w:val="00272EF4"/>
    <w:rsid w:val="002A11C7"/>
    <w:rsid w:val="002E5D2C"/>
    <w:rsid w:val="002E6FD1"/>
    <w:rsid w:val="002E7ABE"/>
    <w:rsid w:val="002F0434"/>
    <w:rsid w:val="00343E3A"/>
    <w:rsid w:val="003812C2"/>
    <w:rsid w:val="003845DA"/>
    <w:rsid w:val="00386BA4"/>
    <w:rsid w:val="003B126C"/>
    <w:rsid w:val="003B47B3"/>
    <w:rsid w:val="00424B5D"/>
    <w:rsid w:val="0043583E"/>
    <w:rsid w:val="00437750"/>
    <w:rsid w:val="00480698"/>
    <w:rsid w:val="004F4C28"/>
    <w:rsid w:val="00543A66"/>
    <w:rsid w:val="005530AA"/>
    <w:rsid w:val="00564D61"/>
    <w:rsid w:val="005B44EC"/>
    <w:rsid w:val="005D03AC"/>
    <w:rsid w:val="005D07DD"/>
    <w:rsid w:val="005D2956"/>
    <w:rsid w:val="005E5044"/>
    <w:rsid w:val="006440F1"/>
    <w:rsid w:val="00674889"/>
    <w:rsid w:val="006D27C0"/>
    <w:rsid w:val="006F1E8B"/>
    <w:rsid w:val="006F583E"/>
    <w:rsid w:val="00705AAF"/>
    <w:rsid w:val="0071758A"/>
    <w:rsid w:val="007561FE"/>
    <w:rsid w:val="007776BA"/>
    <w:rsid w:val="007865C3"/>
    <w:rsid w:val="00793187"/>
    <w:rsid w:val="00796F87"/>
    <w:rsid w:val="007B7F24"/>
    <w:rsid w:val="007F02BA"/>
    <w:rsid w:val="007F134C"/>
    <w:rsid w:val="007F3D33"/>
    <w:rsid w:val="00822DB0"/>
    <w:rsid w:val="008546C8"/>
    <w:rsid w:val="00895038"/>
    <w:rsid w:val="008A5E82"/>
    <w:rsid w:val="008B5091"/>
    <w:rsid w:val="008F4C91"/>
    <w:rsid w:val="008F6535"/>
    <w:rsid w:val="00907D7A"/>
    <w:rsid w:val="00910570"/>
    <w:rsid w:val="00922FE9"/>
    <w:rsid w:val="0093440C"/>
    <w:rsid w:val="00945148"/>
    <w:rsid w:val="009739BC"/>
    <w:rsid w:val="009755D9"/>
    <w:rsid w:val="009775B4"/>
    <w:rsid w:val="00A31985"/>
    <w:rsid w:val="00A54109"/>
    <w:rsid w:val="00AD0F71"/>
    <w:rsid w:val="00AD2A8F"/>
    <w:rsid w:val="00AF0214"/>
    <w:rsid w:val="00B5480E"/>
    <w:rsid w:val="00B6501C"/>
    <w:rsid w:val="00BE072D"/>
    <w:rsid w:val="00BF4C8E"/>
    <w:rsid w:val="00C40104"/>
    <w:rsid w:val="00C85A0E"/>
    <w:rsid w:val="00CC66DE"/>
    <w:rsid w:val="00D274E9"/>
    <w:rsid w:val="00D3259E"/>
    <w:rsid w:val="00DB4685"/>
    <w:rsid w:val="00DE7D6C"/>
    <w:rsid w:val="00E11EFB"/>
    <w:rsid w:val="00E51D11"/>
    <w:rsid w:val="00E5421E"/>
    <w:rsid w:val="00E63982"/>
    <w:rsid w:val="00E95EB3"/>
    <w:rsid w:val="00EE493F"/>
    <w:rsid w:val="00F006AB"/>
    <w:rsid w:val="00F33F26"/>
    <w:rsid w:val="00F427AC"/>
    <w:rsid w:val="00F57DD4"/>
    <w:rsid w:val="00F65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1AB2A"/>
  <w15:chartTrackingRefBased/>
  <w15:docId w15:val="{FDAF8640-32EA-43DE-98BF-8DC7A0B33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104"/>
    <w:pPr>
      <w:ind w:left="720"/>
      <w:contextualSpacing/>
    </w:pPr>
  </w:style>
  <w:style w:type="paragraph" w:customStyle="1" w:styleId="ISC6body">
    <w:name w:val="ISC6_body"/>
    <w:basedOn w:val="Normal"/>
    <w:link w:val="ISC6bodyChar"/>
    <w:qFormat/>
    <w:rsid w:val="00226CAC"/>
    <w:pPr>
      <w:spacing w:after="0" w:line="240" w:lineRule="auto"/>
      <w:ind w:firstLine="227"/>
      <w:jc w:val="both"/>
    </w:pPr>
    <w:rPr>
      <w:rFonts w:asciiTheme="majorBidi" w:eastAsia="Times New Roman" w:hAnsiTheme="majorBidi" w:cstheme="majorBidi"/>
      <w:noProof/>
      <w:sz w:val="20"/>
      <w:szCs w:val="20"/>
      <w:lang w:val="is-IS" w:eastAsia="nl-NL"/>
    </w:rPr>
  </w:style>
  <w:style w:type="character" w:customStyle="1" w:styleId="ISC6bodyChar">
    <w:name w:val="ISC6_body Char"/>
    <w:basedOn w:val="DefaultParagraphFont"/>
    <w:link w:val="ISC6body"/>
    <w:rsid w:val="00226CAC"/>
    <w:rPr>
      <w:rFonts w:asciiTheme="majorBidi" w:eastAsia="Times New Roman" w:hAnsiTheme="majorBidi" w:cstheme="majorBidi"/>
      <w:noProof/>
      <w:sz w:val="20"/>
      <w:szCs w:val="20"/>
      <w:lang w:val="is-IS" w:eastAsia="nl-NL"/>
    </w:rPr>
  </w:style>
  <w:style w:type="character" w:styleId="PlaceholderText">
    <w:name w:val="Placeholder Text"/>
    <w:basedOn w:val="DefaultParagraphFont"/>
    <w:uiPriority w:val="99"/>
    <w:semiHidden/>
    <w:rsid w:val="00226C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fontTable" Target="fontTable.xml"/><Relationship Id="rId21" Type="http://schemas.openxmlformats.org/officeDocument/2006/relationships/image" Target="media/image5.wmf"/><Relationship Id="rId34" Type="http://schemas.openxmlformats.org/officeDocument/2006/relationships/image" Target="media/image9.jpeg"/><Relationship Id="rId7" Type="http://schemas.openxmlformats.org/officeDocument/2006/relationships/image" Target="media/image11.wmf"/><Relationship Id="rId12" Type="http://schemas.openxmlformats.org/officeDocument/2006/relationships/oleObject" Target="embeddings/oleObject4.bin"/><Relationship Id="rId17" Type="http://schemas.openxmlformats.org/officeDocument/2006/relationships/image" Target="media/image4.wmf"/><Relationship Id="rId25" Type="http://schemas.openxmlformats.org/officeDocument/2006/relationships/image" Target="media/image6.wmf"/><Relationship Id="rId33" Type="http://schemas.openxmlformats.org/officeDocument/2006/relationships/image" Target="media/image8.jpeg"/><Relationship Id="rId38" Type="http://schemas.openxmlformats.org/officeDocument/2006/relationships/oleObject" Target="embeddings/oleObject16.bin"/><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20.w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00.wmf"/><Relationship Id="rId40"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image" Target="media/image30.wmf"/><Relationship Id="rId23" Type="http://schemas.openxmlformats.org/officeDocument/2006/relationships/image" Target="media/image50.wmf"/><Relationship Id="rId28" Type="http://schemas.openxmlformats.org/officeDocument/2006/relationships/oleObject" Target="embeddings/oleObject12.bin"/><Relationship Id="rId36" Type="http://schemas.openxmlformats.org/officeDocument/2006/relationships/oleObject" Target="embeddings/oleObject15.bin"/><Relationship Id="rId10" Type="http://schemas.openxmlformats.org/officeDocument/2006/relationships/oleObject" Target="embeddings/oleObject3.bin"/><Relationship Id="rId19" Type="http://schemas.openxmlformats.org/officeDocument/2006/relationships/image" Target="media/image40.wmf"/><Relationship Id="rId31" Type="http://schemas.openxmlformats.org/officeDocument/2006/relationships/image" Target="media/image70.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60.wmf"/><Relationship Id="rId30" Type="http://schemas.openxmlformats.org/officeDocument/2006/relationships/oleObject" Target="embeddings/oleObject13.bin"/><Relationship Id="rId35" Type="http://schemas.openxmlformats.org/officeDocument/2006/relationships/image" Target="media/image10.wmf"/><Relationship Id="rId8" Type="http://schemas.openxmlformats.org/officeDocument/2006/relationships/oleObject" Target="embeddings/oleObject2.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2070</TotalTime>
  <Pages>5</Pages>
  <Words>1347</Words>
  <Characters>7680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Failmezger</dc:creator>
  <cp:keywords/>
  <dc:description/>
  <cp:lastModifiedBy>Roger Failmezger</cp:lastModifiedBy>
  <cp:revision>25</cp:revision>
  <cp:lastPrinted>2022-01-29T20:25:00Z</cp:lastPrinted>
  <dcterms:created xsi:type="dcterms:W3CDTF">2022-01-22T11:08:00Z</dcterms:created>
  <dcterms:modified xsi:type="dcterms:W3CDTF">2022-02-04T12:11:00Z</dcterms:modified>
</cp:coreProperties>
</file>